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0B96" w14:textId="77777777" w:rsidR="001D60AB" w:rsidRPr="00EB7B85" w:rsidRDefault="00000000" w:rsidP="009216D8">
      <w:pPr>
        <w:spacing w:before="120" w:after="120" w:line="288" w:lineRule="auto"/>
        <w:jc w:val="center"/>
        <w:rPr>
          <w:rFonts w:ascii="仿宋" w:eastAsia="仿宋" w:hAnsi="仿宋" w:cs="仿宋" w:hint="eastAsia"/>
          <w:b/>
          <w:bCs/>
          <w:sz w:val="30"/>
          <w:szCs w:val="30"/>
        </w:rPr>
      </w:pPr>
      <w:r w:rsidRPr="00EB7B85">
        <w:rPr>
          <w:rFonts w:ascii="仿宋" w:eastAsia="仿宋" w:hAnsi="仿宋" w:cs="仿宋" w:hint="eastAsia"/>
          <w:b/>
          <w:bCs/>
          <w:sz w:val="30"/>
          <w:szCs w:val="30"/>
        </w:rPr>
        <w:t>合肥共达职业技术学院校园网有线无线一体化项目建设清单</w:t>
      </w:r>
    </w:p>
    <w:tbl>
      <w:tblPr>
        <w:tblpPr w:leftFromText="180" w:rightFromText="180" w:vertAnchor="text" w:horzAnchor="page" w:tblpX="1776" w:tblpY="579"/>
        <w:tblOverlap w:val="never"/>
        <w:tblW w:w="0" w:type="auto"/>
        <w:tblLook w:val="04A0" w:firstRow="1" w:lastRow="0" w:firstColumn="1" w:lastColumn="0" w:noHBand="0" w:noVBand="1"/>
      </w:tblPr>
      <w:tblGrid>
        <w:gridCol w:w="1404"/>
        <w:gridCol w:w="5841"/>
        <w:gridCol w:w="638"/>
        <w:gridCol w:w="638"/>
      </w:tblGrid>
      <w:tr w:rsidR="001D60AB" w:rsidRPr="00EB7B85" w14:paraId="1FAD5BB5" w14:textId="77777777">
        <w:trPr>
          <w:trHeight w:val="270"/>
        </w:trPr>
        <w:tc>
          <w:tcPr>
            <w:tcW w:w="0" w:type="auto"/>
            <w:tcBorders>
              <w:top w:val="single" w:sz="4" w:space="0" w:color="auto"/>
              <w:left w:val="single" w:sz="4" w:space="0" w:color="auto"/>
              <w:bottom w:val="nil"/>
              <w:right w:val="single" w:sz="4" w:space="0" w:color="auto"/>
            </w:tcBorders>
            <w:shd w:val="clear" w:color="000000" w:fill="AEAAAA"/>
            <w:noWrap/>
            <w:vAlign w:val="center"/>
          </w:tcPr>
          <w:p w14:paraId="19C0D41F" w14:textId="77777777" w:rsidR="001D60AB" w:rsidRPr="00EB7B85" w:rsidRDefault="00000000">
            <w:pPr>
              <w:widowControl/>
              <w:jc w:val="center"/>
              <w:rPr>
                <w:rFonts w:ascii="仿宋" w:eastAsia="仿宋" w:hAnsi="仿宋" w:cs="仿宋" w:hint="eastAsia"/>
                <w:b/>
                <w:bCs/>
                <w:color w:val="000000"/>
                <w:szCs w:val="21"/>
              </w:rPr>
            </w:pPr>
            <w:r w:rsidRPr="00EB7B85">
              <w:rPr>
                <w:rFonts w:ascii="仿宋" w:eastAsia="仿宋" w:hAnsi="仿宋" w:cs="仿宋" w:hint="eastAsia"/>
                <w:b/>
                <w:bCs/>
                <w:color w:val="000000"/>
                <w:szCs w:val="21"/>
              </w:rPr>
              <w:t>设备</w:t>
            </w:r>
          </w:p>
        </w:tc>
        <w:tc>
          <w:tcPr>
            <w:tcW w:w="0" w:type="auto"/>
            <w:tcBorders>
              <w:top w:val="single" w:sz="4" w:space="0" w:color="auto"/>
              <w:left w:val="nil"/>
              <w:bottom w:val="nil"/>
              <w:right w:val="single" w:sz="4" w:space="0" w:color="auto"/>
            </w:tcBorders>
            <w:shd w:val="clear" w:color="000000" w:fill="AEAAAA"/>
            <w:vAlign w:val="center"/>
          </w:tcPr>
          <w:p w14:paraId="2D143F8E" w14:textId="77777777" w:rsidR="001D60AB" w:rsidRPr="00EB7B85" w:rsidRDefault="00000000">
            <w:pPr>
              <w:widowControl/>
              <w:jc w:val="center"/>
              <w:rPr>
                <w:rFonts w:ascii="仿宋" w:eastAsia="仿宋" w:hAnsi="仿宋" w:cs="仿宋" w:hint="eastAsia"/>
                <w:b/>
                <w:bCs/>
                <w:color w:val="000000"/>
                <w:szCs w:val="21"/>
              </w:rPr>
            </w:pPr>
            <w:r w:rsidRPr="00EB7B85">
              <w:rPr>
                <w:rFonts w:ascii="仿宋" w:eastAsia="仿宋" w:hAnsi="仿宋" w:cs="仿宋" w:hint="eastAsia"/>
                <w:b/>
                <w:bCs/>
                <w:color w:val="000000"/>
                <w:szCs w:val="21"/>
              </w:rPr>
              <w:t>设备描述</w:t>
            </w:r>
          </w:p>
        </w:tc>
        <w:tc>
          <w:tcPr>
            <w:tcW w:w="0" w:type="auto"/>
            <w:tcBorders>
              <w:top w:val="single" w:sz="4" w:space="0" w:color="auto"/>
              <w:left w:val="nil"/>
              <w:bottom w:val="nil"/>
              <w:right w:val="single" w:sz="4" w:space="0" w:color="auto"/>
            </w:tcBorders>
            <w:shd w:val="clear" w:color="000000" w:fill="AEAAAA"/>
            <w:noWrap/>
            <w:vAlign w:val="center"/>
          </w:tcPr>
          <w:p w14:paraId="0E7C35B2" w14:textId="77777777" w:rsidR="001D60AB" w:rsidRPr="00EB7B85" w:rsidRDefault="00000000">
            <w:pPr>
              <w:widowControl/>
              <w:jc w:val="center"/>
              <w:rPr>
                <w:rFonts w:ascii="仿宋" w:eastAsia="仿宋" w:hAnsi="仿宋" w:cs="仿宋" w:hint="eastAsia"/>
                <w:b/>
                <w:bCs/>
                <w:color w:val="000000"/>
                <w:szCs w:val="21"/>
              </w:rPr>
            </w:pPr>
            <w:r w:rsidRPr="00EB7B85">
              <w:rPr>
                <w:rFonts w:ascii="仿宋" w:eastAsia="仿宋" w:hAnsi="仿宋" w:cs="仿宋" w:hint="eastAsia"/>
                <w:b/>
                <w:bCs/>
                <w:color w:val="000000"/>
                <w:szCs w:val="21"/>
              </w:rPr>
              <w:t>数量</w:t>
            </w:r>
          </w:p>
        </w:tc>
        <w:tc>
          <w:tcPr>
            <w:tcW w:w="0" w:type="auto"/>
            <w:tcBorders>
              <w:top w:val="single" w:sz="4" w:space="0" w:color="auto"/>
              <w:left w:val="nil"/>
              <w:bottom w:val="nil"/>
              <w:right w:val="single" w:sz="4" w:space="0" w:color="auto"/>
            </w:tcBorders>
            <w:shd w:val="clear" w:color="000000" w:fill="AEAAAA"/>
            <w:noWrap/>
            <w:vAlign w:val="center"/>
          </w:tcPr>
          <w:p w14:paraId="1E4C3105" w14:textId="77777777" w:rsidR="001D60AB" w:rsidRPr="00EB7B85" w:rsidRDefault="00000000">
            <w:pPr>
              <w:widowControl/>
              <w:jc w:val="center"/>
              <w:rPr>
                <w:rFonts w:ascii="仿宋" w:eastAsia="仿宋" w:hAnsi="仿宋" w:cs="仿宋" w:hint="eastAsia"/>
                <w:b/>
                <w:bCs/>
                <w:color w:val="000000"/>
                <w:szCs w:val="21"/>
              </w:rPr>
            </w:pPr>
            <w:r w:rsidRPr="00EB7B85">
              <w:rPr>
                <w:rFonts w:ascii="仿宋" w:eastAsia="仿宋" w:hAnsi="仿宋" w:cs="仿宋" w:hint="eastAsia"/>
                <w:b/>
                <w:bCs/>
                <w:color w:val="000000"/>
                <w:szCs w:val="21"/>
              </w:rPr>
              <w:t>单位</w:t>
            </w:r>
          </w:p>
        </w:tc>
      </w:tr>
      <w:tr w:rsidR="001D60AB" w:rsidRPr="00EB7B85" w14:paraId="28EDD973" w14:textId="77777777">
        <w:trPr>
          <w:trHeight w:val="561"/>
        </w:trPr>
        <w:tc>
          <w:tcPr>
            <w:tcW w:w="0" w:type="auto"/>
            <w:tcBorders>
              <w:top w:val="single" w:sz="4" w:space="0" w:color="auto"/>
              <w:left w:val="single" w:sz="4" w:space="0" w:color="auto"/>
              <w:bottom w:val="single" w:sz="4" w:space="0" w:color="auto"/>
              <w:right w:val="single" w:sz="4" w:space="0" w:color="auto"/>
            </w:tcBorders>
            <w:vAlign w:val="center"/>
          </w:tcPr>
          <w:p w14:paraId="6B81BDD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核心交换机</w:t>
            </w:r>
          </w:p>
        </w:tc>
        <w:tc>
          <w:tcPr>
            <w:tcW w:w="0" w:type="auto"/>
            <w:tcBorders>
              <w:top w:val="single" w:sz="4" w:space="0" w:color="auto"/>
              <w:left w:val="nil"/>
              <w:bottom w:val="single" w:sz="4" w:space="0" w:color="auto"/>
              <w:right w:val="single" w:sz="4" w:space="0" w:color="auto"/>
            </w:tcBorders>
          </w:tcPr>
          <w:p w14:paraId="2235C23B"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1.整机主控板槽位≥2个， 业务板槽位≥6个,电源槽位≥4；</w:t>
            </w:r>
          </w:p>
          <w:p w14:paraId="41A920E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2.交换容量≥102.4Tbps/460.8Tbps,包转发率≥76800Mpps</w:t>
            </w:r>
          </w:p>
          <w:p w14:paraId="77F07FD7"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3.为降低设备产生的噪音，同时提升设备散热效果，机箱风道采用右侧进后出设计；</w:t>
            </w:r>
          </w:p>
          <w:p w14:paraId="45384409"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4.支持交换机堆叠跨框链路双向流量可视，感知时间轴流量情况，异常流量直观可视；</w:t>
            </w:r>
          </w:p>
          <w:p w14:paraId="252EBF31"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5.支持业务板卡一键复位、下电、移除等功能，并支持可编辑板卡名称；</w:t>
            </w:r>
          </w:p>
          <w:p w14:paraId="5FFB36AA"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6.支持交换机通过可视化面板可呈现业务板卡背板带宽利用率，对每一块业务板卡使用情况一目了然；</w:t>
            </w:r>
            <w:r w:rsidRPr="00EB7B85">
              <w:rPr>
                <w:rFonts w:ascii="仿宋" w:eastAsia="仿宋" w:hAnsi="仿宋" w:cs="仿宋" w:hint="eastAsia"/>
                <w:color w:val="000000"/>
                <w:szCs w:val="21"/>
              </w:rPr>
              <w:br/>
              <w:t>配置要求：</w:t>
            </w:r>
            <w:r w:rsidRPr="00EB7B85">
              <w:rPr>
                <w:rFonts w:ascii="仿宋" w:eastAsia="仿宋" w:hAnsi="仿宋" w:cs="仿宋" w:hint="eastAsia"/>
                <w:color w:val="000000"/>
                <w:szCs w:val="21"/>
              </w:rPr>
              <w:br/>
              <w:t>1.每台配置主控引擎≥2个、交流电源模块≥2个；</w:t>
            </w:r>
            <w:r w:rsidRPr="00EB7B85">
              <w:rPr>
                <w:rFonts w:ascii="仿宋" w:eastAsia="仿宋" w:hAnsi="仿宋" w:cs="仿宋" w:hint="eastAsia"/>
                <w:color w:val="000000"/>
                <w:szCs w:val="21"/>
              </w:rPr>
              <w:br/>
              <w:t>2.</w:t>
            </w:r>
            <w:proofErr w:type="gramStart"/>
            <w:r w:rsidRPr="00EB7B85">
              <w:rPr>
                <w:rFonts w:ascii="仿宋" w:eastAsia="仿宋" w:hAnsi="仿宋" w:cs="仿宋" w:hint="eastAsia"/>
                <w:color w:val="000000"/>
                <w:szCs w:val="21"/>
              </w:rPr>
              <w:t>千兆电接口</w:t>
            </w:r>
            <w:proofErr w:type="gramEnd"/>
            <w:r w:rsidRPr="00EB7B85">
              <w:rPr>
                <w:rFonts w:ascii="仿宋" w:eastAsia="仿宋" w:hAnsi="仿宋" w:cs="仿宋" w:hint="eastAsia"/>
                <w:color w:val="000000"/>
                <w:szCs w:val="21"/>
              </w:rPr>
              <w:t>≥24个；</w:t>
            </w:r>
            <w:r w:rsidRPr="00EB7B85">
              <w:rPr>
                <w:rFonts w:ascii="仿宋" w:eastAsia="仿宋" w:hAnsi="仿宋" w:cs="仿宋" w:hint="eastAsia"/>
                <w:color w:val="000000"/>
                <w:szCs w:val="21"/>
              </w:rPr>
              <w:br/>
              <w:t>3.千兆光接口≥24个；</w:t>
            </w:r>
            <w:r w:rsidRPr="00EB7B85">
              <w:rPr>
                <w:rFonts w:ascii="仿宋" w:eastAsia="仿宋" w:hAnsi="仿宋" w:cs="仿宋" w:hint="eastAsia"/>
                <w:color w:val="000000"/>
                <w:szCs w:val="21"/>
              </w:rPr>
              <w:br/>
              <w:t>4.万兆光接口≥28个；</w:t>
            </w:r>
          </w:p>
        </w:tc>
        <w:tc>
          <w:tcPr>
            <w:tcW w:w="0" w:type="auto"/>
            <w:tcBorders>
              <w:top w:val="single" w:sz="4" w:space="0" w:color="auto"/>
              <w:left w:val="nil"/>
              <w:bottom w:val="single" w:sz="4" w:space="0" w:color="auto"/>
              <w:right w:val="single" w:sz="4" w:space="0" w:color="auto"/>
            </w:tcBorders>
            <w:noWrap/>
            <w:vAlign w:val="center"/>
          </w:tcPr>
          <w:p w14:paraId="3FB94ADC"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2</w:t>
            </w:r>
          </w:p>
        </w:tc>
        <w:tc>
          <w:tcPr>
            <w:tcW w:w="0" w:type="auto"/>
            <w:tcBorders>
              <w:top w:val="single" w:sz="4" w:space="0" w:color="auto"/>
              <w:left w:val="nil"/>
              <w:bottom w:val="single" w:sz="4" w:space="0" w:color="auto"/>
              <w:right w:val="single" w:sz="4" w:space="0" w:color="auto"/>
            </w:tcBorders>
            <w:noWrap/>
            <w:vAlign w:val="center"/>
          </w:tcPr>
          <w:p w14:paraId="7E97CDE9"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18918B8D" w14:textId="77777777">
        <w:trPr>
          <w:trHeight w:val="561"/>
        </w:trPr>
        <w:tc>
          <w:tcPr>
            <w:tcW w:w="0" w:type="auto"/>
            <w:tcBorders>
              <w:top w:val="nil"/>
              <w:left w:val="single" w:sz="4" w:space="0" w:color="auto"/>
              <w:bottom w:val="single" w:sz="4" w:space="0" w:color="auto"/>
              <w:right w:val="single" w:sz="4" w:space="0" w:color="auto"/>
            </w:tcBorders>
            <w:vAlign w:val="center"/>
          </w:tcPr>
          <w:p w14:paraId="569B53B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认证计费网关</w:t>
            </w:r>
          </w:p>
        </w:tc>
        <w:tc>
          <w:tcPr>
            <w:tcW w:w="0" w:type="auto"/>
            <w:tcBorders>
              <w:top w:val="nil"/>
              <w:left w:val="nil"/>
              <w:bottom w:val="single" w:sz="4" w:space="0" w:color="auto"/>
              <w:right w:val="single" w:sz="4" w:space="0" w:color="auto"/>
            </w:tcBorders>
          </w:tcPr>
          <w:p w14:paraId="2D662D37"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1.1U高度，</w:t>
            </w:r>
            <w:proofErr w:type="gramStart"/>
            <w:r w:rsidRPr="00EB7B85">
              <w:rPr>
                <w:rFonts w:ascii="仿宋" w:eastAsia="仿宋" w:hAnsi="仿宋" w:cs="仿宋" w:hint="eastAsia"/>
                <w:color w:val="000000"/>
                <w:szCs w:val="21"/>
              </w:rPr>
              <w:t>千兆电口</w:t>
            </w:r>
            <w:proofErr w:type="gramEnd"/>
            <w:r w:rsidRPr="00EB7B85">
              <w:rPr>
                <w:rFonts w:ascii="仿宋" w:eastAsia="仿宋" w:hAnsi="仿宋" w:cs="仿宋" w:hint="eastAsia"/>
                <w:color w:val="000000"/>
                <w:szCs w:val="21"/>
              </w:rPr>
              <w:t>≥6个，扩展槽≥1个，可扩展4*10G</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NIC系列扩展卡；</w:t>
            </w:r>
          </w:p>
          <w:p w14:paraId="6267D39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2.一个硬盘插槽，16G内存，</w:t>
            </w:r>
            <w:proofErr w:type="gramStart"/>
            <w:r w:rsidRPr="00EB7B85">
              <w:rPr>
                <w:rFonts w:ascii="仿宋" w:eastAsia="仿宋" w:hAnsi="仿宋" w:cs="仿宋" w:hint="eastAsia"/>
                <w:color w:val="000000"/>
                <w:szCs w:val="21"/>
              </w:rPr>
              <w:t>标配单</w:t>
            </w:r>
            <w:proofErr w:type="gramEnd"/>
            <w:r w:rsidRPr="00EB7B85">
              <w:rPr>
                <w:rFonts w:ascii="仿宋" w:eastAsia="仿宋" w:hAnsi="仿宋" w:cs="仿宋" w:hint="eastAsia"/>
                <w:color w:val="000000"/>
                <w:szCs w:val="21"/>
              </w:rPr>
              <w:t>电源，内置风扇。推荐并发在线用户数8000，建议带宽12G。</w:t>
            </w:r>
            <w:r w:rsidRPr="00EB7B85">
              <w:rPr>
                <w:rFonts w:ascii="仿宋" w:eastAsia="仿宋" w:hAnsi="仿宋" w:cs="仿宋" w:hint="eastAsia"/>
                <w:color w:val="000000"/>
                <w:szCs w:val="21"/>
              </w:rPr>
              <w:br/>
              <w:t>3.支持内网主机监控和基于应用协议的数据分析。支持本机的带宽利用率、设备负载、温度监控。</w:t>
            </w:r>
            <w:r w:rsidRPr="00EB7B85">
              <w:rPr>
                <w:rFonts w:ascii="仿宋" w:eastAsia="仿宋" w:hAnsi="仿宋" w:cs="仿宋" w:hint="eastAsia"/>
                <w:color w:val="000000"/>
                <w:szCs w:val="21"/>
              </w:rPr>
              <w:br/>
              <w:t>4.支持WAN/LAN自由切换，支持端口聚合，支持WAN子接口扩展，最多支持2000条外网线路。</w:t>
            </w:r>
            <w:r w:rsidRPr="00EB7B85">
              <w:rPr>
                <w:rFonts w:ascii="仿宋" w:eastAsia="仿宋" w:hAnsi="仿宋" w:cs="仿宋" w:hint="eastAsia"/>
                <w:color w:val="000000"/>
                <w:szCs w:val="21"/>
              </w:rPr>
              <w:br/>
              <w:t>5.支持代拨</w:t>
            </w:r>
            <w:r w:rsidRPr="00EB7B85">
              <w:rPr>
                <w:rFonts w:ascii="仿宋" w:eastAsia="仿宋" w:hAnsi="仿宋" w:cs="仿宋" w:hint="eastAsia"/>
                <w:color w:val="000000"/>
                <w:szCs w:val="21"/>
              </w:rPr>
              <w:br/>
              <w:t>6.支持出口链路负载均衡功能，可基于运营商、会话数、IP、流量的负载均衡策略。</w:t>
            </w:r>
            <w:r w:rsidRPr="00EB7B85">
              <w:rPr>
                <w:rFonts w:ascii="仿宋" w:eastAsia="仿宋" w:hAnsi="仿宋" w:cs="仿宋" w:hint="eastAsia"/>
                <w:color w:val="000000"/>
                <w:szCs w:val="21"/>
              </w:rPr>
              <w:br/>
              <w:t>7.支持基于应用的策略路由功能，支持基于应用的流量优先级、带宽保证、带宽例外的智能流控。</w:t>
            </w:r>
          </w:p>
        </w:tc>
        <w:tc>
          <w:tcPr>
            <w:tcW w:w="0" w:type="auto"/>
            <w:tcBorders>
              <w:top w:val="nil"/>
              <w:left w:val="nil"/>
              <w:bottom w:val="single" w:sz="4" w:space="0" w:color="auto"/>
              <w:right w:val="single" w:sz="4" w:space="0" w:color="auto"/>
            </w:tcBorders>
            <w:noWrap/>
            <w:vAlign w:val="center"/>
          </w:tcPr>
          <w:p w14:paraId="15147A7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noWrap/>
            <w:vAlign w:val="center"/>
          </w:tcPr>
          <w:p w14:paraId="37350A57"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3E000E5A" w14:textId="77777777">
        <w:trPr>
          <w:trHeight w:val="561"/>
        </w:trPr>
        <w:tc>
          <w:tcPr>
            <w:tcW w:w="0" w:type="auto"/>
            <w:tcBorders>
              <w:top w:val="nil"/>
              <w:left w:val="single" w:sz="4" w:space="0" w:color="auto"/>
              <w:bottom w:val="single" w:sz="4" w:space="0" w:color="auto"/>
              <w:right w:val="single" w:sz="4" w:space="0" w:color="auto"/>
            </w:tcBorders>
            <w:vAlign w:val="center"/>
          </w:tcPr>
          <w:p w14:paraId="683FA81A"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认证计费系统</w:t>
            </w:r>
          </w:p>
        </w:tc>
        <w:tc>
          <w:tcPr>
            <w:tcW w:w="0" w:type="auto"/>
            <w:tcBorders>
              <w:top w:val="nil"/>
              <w:left w:val="nil"/>
              <w:bottom w:val="single" w:sz="4" w:space="0" w:color="auto"/>
              <w:right w:val="single" w:sz="4" w:space="0" w:color="auto"/>
            </w:tcBorders>
          </w:tcPr>
          <w:p w14:paraId="58B3621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1.有线无线一体化接入认证计费管理系统（SaaS服务）</w:t>
            </w:r>
            <w:r w:rsidRPr="00EB7B85">
              <w:rPr>
                <w:rFonts w:ascii="仿宋" w:eastAsia="仿宋" w:hAnsi="仿宋" w:cs="仿宋" w:hint="eastAsia"/>
                <w:color w:val="000000"/>
                <w:szCs w:val="21"/>
              </w:rPr>
              <w:br/>
              <w:t>2.支持主流厂商radius对接</w:t>
            </w:r>
            <w:r w:rsidRPr="00EB7B85">
              <w:rPr>
                <w:rFonts w:ascii="仿宋" w:eastAsia="仿宋" w:hAnsi="仿宋" w:cs="仿宋" w:hint="eastAsia"/>
                <w:color w:val="000000"/>
                <w:szCs w:val="21"/>
              </w:rPr>
              <w:br/>
              <w:t>3.支持CMCC portal 2.0</w:t>
            </w:r>
            <w:r w:rsidRPr="00EB7B85">
              <w:rPr>
                <w:rFonts w:ascii="仿宋" w:eastAsia="仿宋" w:hAnsi="仿宋" w:cs="仿宋" w:hint="eastAsia"/>
                <w:color w:val="000000"/>
                <w:szCs w:val="21"/>
              </w:rPr>
              <w:br/>
              <w:t>4.支持有线、无线认证计费</w:t>
            </w:r>
            <w:r w:rsidRPr="00EB7B85">
              <w:rPr>
                <w:rFonts w:ascii="仿宋" w:eastAsia="仿宋" w:hAnsi="仿宋" w:cs="仿宋" w:hint="eastAsia"/>
                <w:color w:val="000000"/>
                <w:szCs w:val="21"/>
              </w:rPr>
              <w:br/>
              <w:t>5.支持账号密码、验证码等认证方式</w:t>
            </w:r>
            <w:r w:rsidRPr="00EB7B85">
              <w:rPr>
                <w:rFonts w:ascii="仿宋" w:eastAsia="仿宋" w:hAnsi="仿宋" w:cs="仿宋" w:hint="eastAsia"/>
                <w:color w:val="000000"/>
                <w:szCs w:val="21"/>
              </w:rPr>
              <w:br/>
              <w:t>6.计费策略配置，支持按天、月、年计费策略，支持基于带宽的套餐设置</w:t>
            </w:r>
            <w:r w:rsidRPr="00EB7B85">
              <w:rPr>
                <w:rFonts w:ascii="仿宋" w:eastAsia="仿宋" w:hAnsi="仿宋" w:cs="仿宋" w:hint="eastAsia"/>
                <w:color w:val="000000"/>
                <w:szCs w:val="21"/>
              </w:rPr>
              <w:br/>
              <w:t>7.用户管理，用户代拨信息，账号信息，时长信息，充值流水等；</w:t>
            </w:r>
          </w:p>
        </w:tc>
        <w:tc>
          <w:tcPr>
            <w:tcW w:w="0" w:type="auto"/>
            <w:tcBorders>
              <w:top w:val="nil"/>
              <w:left w:val="nil"/>
              <w:bottom w:val="single" w:sz="4" w:space="0" w:color="auto"/>
              <w:right w:val="single" w:sz="4" w:space="0" w:color="auto"/>
            </w:tcBorders>
            <w:noWrap/>
            <w:vAlign w:val="center"/>
          </w:tcPr>
          <w:p w14:paraId="466829F3"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noWrap/>
            <w:vAlign w:val="center"/>
          </w:tcPr>
          <w:p w14:paraId="1548151D"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套</w:t>
            </w:r>
          </w:p>
        </w:tc>
      </w:tr>
      <w:tr w:rsidR="001D60AB" w:rsidRPr="00EB7B85" w14:paraId="2CB4E5EC" w14:textId="77777777">
        <w:trPr>
          <w:trHeight w:val="561"/>
        </w:trPr>
        <w:tc>
          <w:tcPr>
            <w:tcW w:w="0" w:type="auto"/>
            <w:tcBorders>
              <w:top w:val="nil"/>
              <w:left w:val="single" w:sz="4" w:space="0" w:color="auto"/>
              <w:bottom w:val="single" w:sz="4" w:space="0" w:color="auto"/>
              <w:right w:val="single" w:sz="4" w:space="0" w:color="auto"/>
            </w:tcBorders>
            <w:vAlign w:val="center"/>
          </w:tcPr>
          <w:p w14:paraId="537A790E"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防火墙</w:t>
            </w:r>
          </w:p>
        </w:tc>
        <w:tc>
          <w:tcPr>
            <w:tcW w:w="0" w:type="auto"/>
            <w:tcBorders>
              <w:top w:val="nil"/>
              <w:left w:val="nil"/>
              <w:bottom w:val="single" w:sz="4" w:space="0" w:color="auto"/>
              <w:right w:val="single" w:sz="4" w:space="0" w:color="auto"/>
            </w:tcBorders>
          </w:tcPr>
          <w:p w14:paraId="5A7A6CB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1.产品不少于8个10/100/1000M以太网电口，2个10GSFP+口；</w:t>
            </w:r>
          </w:p>
          <w:p w14:paraId="11F23581"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2.网络层吞吐量≥20Gbps，应用层吞吐量≥9Gbps，并发连接数≥200万，每秒新建连接数≥9万；</w:t>
            </w:r>
          </w:p>
          <w:p w14:paraId="58BFD595"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 xml:space="preserve">3.产品支持IPsec VPN和SSL VPN功能； </w:t>
            </w:r>
          </w:p>
          <w:p w14:paraId="3B276481"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4.产品支持IPSec VPN智能选路功能，根据线路质量和应用实现自动链路切换；</w:t>
            </w:r>
          </w:p>
          <w:p w14:paraId="4FE6E90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lastRenderedPageBreak/>
              <w:t>5.产品支持应用管控功能，应用特征识别</w:t>
            </w:r>
            <w:proofErr w:type="gramStart"/>
            <w:r w:rsidRPr="00EB7B85">
              <w:rPr>
                <w:rFonts w:ascii="仿宋" w:eastAsia="仿宋" w:hAnsi="仿宋" w:cs="仿宋" w:hint="eastAsia"/>
                <w:color w:val="000000"/>
                <w:szCs w:val="21"/>
              </w:rPr>
              <w:t>库数量</w:t>
            </w:r>
            <w:proofErr w:type="gramEnd"/>
            <w:r w:rsidRPr="00EB7B85">
              <w:rPr>
                <w:rFonts w:ascii="仿宋" w:eastAsia="仿宋" w:hAnsi="仿宋" w:cs="仿宋" w:hint="eastAsia"/>
                <w:color w:val="000000"/>
                <w:szCs w:val="21"/>
              </w:rPr>
              <w:t xml:space="preserve">大于9160种； </w:t>
            </w:r>
          </w:p>
        </w:tc>
        <w:tc>
          <w:tcPr>
            <w:tcW w:w="0" w:type="auto"/>
            <w:tcBorders>
              <w:top w:val="nil"/>
              <w:left w:val="nil"/>
              <w:bottom w:val="single" w:sz="4" w:space="0" w:color="auto"/>
              <w:right w:val="single" w:sz="4" w:space="0" w:color="auto"/>
            </w:tcBorders>
            <w:noWrap/>
            <w:vAlign w:val="center"/>
          </w:tcPr>
          <w:p w14:paraId="1E49C0D4"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lastRenderedPageBreak/>
              <w:t>1</w:t>
            </w:r>
          </w:p>
        </w:tc>
        <w:tc>
          <w:tcPr>
            <w:tcW w:w="0" w:type="auto"/>
            <w:tcBorders>
              <w:top w:val="nil"/>
              <w:left w:val="nil"/>
              <w:bottom w:val="single" w:sz="4" w:space="0" w:color="auto"/>
              <w:right w:val="single" w:sz="4" w:space="0" w:color="auto"/>
            </w:tcBorders>
            <w:noWrap/>
            <w:vAlign w:val="center"/>
          </w:tcPr>
          <w:p w14:paraId="7D8790F9"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548541C2" w14:textId="77777777">
        <w:trPr>
          <w:trHeight w:val="561"/>
        </w:trPr>
        <w:tc>
          <w:tcPr>
            <w:tcW w:w="0" w:type="auto"/>
            <w:tcBorders>
              <w:top w:val="nil"/>
              <w:left w:val="single" w:sz="4" w:space="0" w:color="auto"/>
              <w:bottom w:val="single" w:sz="4" w:space="0" w:color="auto"/>
              <w:right w:val="single" w:sz="4" w:space="0" w:color="auto"/>
            </w:tcBorders>
            <w:vAlign w:val="center"/>
          </w:tcPr>
          <w:p w14:paraId="30F117F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网络控制器</w:t>
            </w:r>
          </w:p>
        </w:tc>
        <w:tc>
          <w:tcPr>
            <w:tcW w:w="0" w:type="auto"/>
            <w:tcBorders>
              <w:top w:val="nil"/>
              <w:left w:val="nil"/>
              <w:bottom w:val="single" w:sz="4" w:space="0" w:color="auto"/>
              <w:right w:val="single" w:sz="4" w:space="0" w:color="auto"/>
            </w:tcBorders>
          </w:tcPr>
          <w:p w14:paraId="7B6C3B8F"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1.本次网络控制平台需实现有线网络与无线网络一体化管理，包括统一管理，统一策略，统一转发，统一拓扑呈现；</w:t>
            </w:r>
          </w:p>
          <w:p w14:paraId="13A86542"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2.管理无线AP和交换机可以实现记录内网终端流量访问路径、识别异常终端访问行为、呈现全网</w:t>
            </w:r>
            <w:proofErr w:type="gramStart"/>
            <w:r w:rsidRPr="00EB7B85">
              <w:rPr>
                <w:rFonts w:ascii="仿宋" w:eastAsia="仿宋" w:hAnsi="仿宋" w:cs="仿宋" w:hint="eastAsia"/>
                <w:color w:val="000000"/>
                <w:szCs w:val="21"/>
              </w:rPr>
              <w:t>异常访问</w:t>
            </w:r>
            <w:proofErr w:type="gramEnd"/>
            <w:r w:rsidRPr="00EB7B85">
              <w:rPr>
                <w:rFonts w:ascii="仿宋" w:eastAsia="仿宋" w:hAnsi="仿宋" w:cs="仿宋" w:hint="eastAsia"/>
                <w:color w:val="000000"/>
                <w:szCs w:val="21"/>
              </w:rPr>
              <w:t>趋势、下发策略阻断风险终端访问动作的全周期东西向流量安全可视化管控；</w:t>
            </w:r>
          </w:p>
          <w:p w14:paraId="4420651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w:t>
            </w:r>
            <w:r w:rsidRPr="00EB7B85">
              <w:rPr>
                <w:rFonts w:ascii="仿宋" w:eastAsia="仿宋" w:hAnsi="仿宋" w:cs="仿宋" w:hint="eastAsia"/>
                <w:szCs w:val="21"/>
              </w:rPr>
              <w:t xml:space="preserve"> </w:t>
            </w:r>
            <w:r w:rsidRPr="00EB7B85">
              <w:rPr>
                <w:rFonts w:ascii="仿宋" w:eastAsia="仿宋" w:hAnsi="仿宋" w:cs="仿宋" w:hint="eastAsia"/>
                <w:color w:val="000000"/>
                <w:szCs w:val="21"/>
              </w:rPr>
              <w:t>为满足全员办公网络接入需求，单台设备最大可支持管理AP数≥3000；</w:t>
            </w:r>
          </w:p>
        </w:tc>
        <w:tc>
          <w:tcPr>
            <w:tcW w:w="0" w:type="auto"/>
            <w:tcBorders>
              <w:top w:val="nil"/>
              <w:left w:val="nil"/>
              <w:bottom w:val="single" w:sz="4" w:space="0" w:color="auto"/>
              <w:right w:val="single" w:sz="4" w:space="0" w:color="auto"/>
            </w:tcBorders>
            <w:noWrap/>
            <w:vAlign w:val="center"/>
          </w:tcPr>
          <w:p w14:paraId="0CE9F289"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noWrap/>
            <w:vAlign w:val="center"/>
          </w:tcPr>
          <w:p w14:paraId="6A62D37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70D4A337" w14:textId="77777777">
        <w:trPr>
          <w:trHeight w:val="561"/>
        </w:trPr>
        <w:tc>
          <w:tcPr>
            <w:tcW w:w="0" w:type="auto"/>
            <w:tcBorders>
              <w:top w:val="nil"/>
              <w:left w:val="single" w:sz="4" w:space="0" w:color="auto"/>
              <w:bottom w:val="single" w:sz="4" w:space="0" w:color="auto"/>
              <w:right w:val="single" w:sz="4" w:space="0" w:color="auto"/>
            </w:tcBorders>
            <w:vAlign w:val="center"/>
          </w:tcPr>
          <w:p w14:paraId="2994250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统一认证平台</w:t>
            </w:r>
          </w:p>
        </w:tc>
        <w:tc>
          <w:tcPr>
            <w:tcW w:w="0" w:type="auto"/>
            <w:tcBorders>
              <w:top w:val="nil"/>
              <w:left w:val="nil"/>
              <w:bottom w:val="single" w:sz="4" w:space="0" w:color="auto"/>
              <w:right w:val="single" w:sz="4" w:space="0" w:color="auto"/>
            </w:tcBorders>
          </w:tcPr>
          <w:p w14:paraId="31F71F9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1.系统采用B/S架构，适配主流浏览器；</w:t>
            </w:r>
            <w:r w:rsidRPr="00EB7B85">
              <w:rPr>
                <w:rFonts w:ascii="仿宋" w:eastAsia="仿宋" w:hAnsi="仿宋" w:cs="仿宋" w:hint="eastAsia"/>
                <w:color w:val="000000"/>
                <w:szCs w:val="21"/>
              </w:rPr>
              <w:br/>
              <w:t>2.平台应持802.1x、Portal、MAC地址认证、CA证书认证、802.1X WEP等认证，支持</w:t>
            </w:r>
            <w:proofErr w:type="gramStart"/>
            <w:r w:rsidRPr="00EB7B85">
              <w:rPr>
                <w:rFonts w:ascii="仿宋" w:eastAsia="仿宋" w:hAnsi="仿宋" w:cs="仿宋" w:hint="eastAsia"/>
                <w:color w:val="000000"/>
                <w:szCs w:val="21"/>
              </w:rPr>
              <w:t>二维码审核</w:t>
            </w:r>
            <w:proofErr w:type="gramEnd"/>
            <w:r w:rsidRPr="00EB7B85">
              <w:rPr>
                <w:rFonts w:ascii="仿宋" w:eastAsia="仿宋" w:hAnsi="仿宋" w:cs="仿宋" w:hint="eastAsia"/>
                <w:color w:val="000000"/>
                <w:szCs w:val="21"/>
              </w:rPr>
              <w:t>认证、短信认证、APP认证、临时访客账号等访客认证方式；</w:t>
            </w:r>
            <w:r w:rsidRPr="00EB7B85">
              <w:rPr>
                <w:rFonts w:ascii="仿宋" w:eastAsia="仿宋" w:hAnsi="仿宋" w:cs="仿宋" w:hint="eastAsia"/>
                <w:color w:val="000000"/>
                <w:szCs w:val="21"/>
              </w:rPr>
              <w:br/>
              <w:t>3.考虑到项目中实际使用人数及一定冗余性，配置统一认证平台软件，并实际配置不低于100000个终端准入授权；</w:t>
            </w:r>
            <w:r w:rsidRPr="00EB7B85">
              <w:rPr>
                <w:rFonts w:ascii="仿宋" w:eastAsia="仿宋" w:hAnsi="仿宋" w:cs="仿宋" w:hint="eastAsia"/>
                <w:color w:val="000000"/>
                <w:szCs w:val="21"/>
              </w:rPr>
              <w:br/>
              <w:t>4.硬件配置：为了保证系统安全，要求采用本地化部署方式，配置统一认证平台所需硬件资源，满足统一认证平台稳定运行</w:t>
            </w:r>
          </w:p>
        </w:tc>
        <w:tc>
          <w:tcPr>
            <w:tcW w:w="0" w:type="auto"/>
            <w:tcBorders>
              <w:top w:val="nil"/>
              <w:left w:val="nil"/>
              <w:bottom w:val="single" w:sz="4" w:space="0" w:color="auto"/>
              <w:right w:val="single" w:sz="4" w:space="0" w:color="auto"/>
            </w:tcBorders>
            <w:vAlign w:val="center"/>
          </w:tcPr>
          <w:p w14:paraId="2CE5D35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19308DF3"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套</w:t>
            </w:r>
          </w:p>
        </w:tc>
      </w:tr>
      <w:tr w:rsidR="001D60AB" w:rsidRPr="00EB7B85" w14:paraId="5834B994" w14:textId="77777777">
        <w:trPr>
          <w:trHeight w:val="561"/>
        </w:trPr>
        <w:tc>
          <w:tcPr>
            <w:tcW w:w="0" w:type="auto"/>
            <w:tcBorders>
              <w:top w:val="nil"/>
              <w:left w:val="single" w:sz="4" w:space="0" w:color="auto"/>
              <w:bottom w:val="single" w:sz="4" w:space="0" w:color="auto"/>
              <w:right w:val="single" w:sz="4" w:space="0" w:color="auto"/>
            </w:tcBorders>
            <w:vAlign w:val="center"/>
          </w:tcPr>
          <w:p w14:paraId="1813FB1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SDN网络管理平台</w:t>
            </w:r>
          </w:p>
        </w:tc>
        <w:tc>
          <w:tcPr>
            <w:tcW w:w="0" w:type="auto"/>
            <w:tcBorders>
              <w:top w:val="nil"/>
              <w:left w:val="nil"/>
              <w:bottom w:val="single" w:sz="4" w:space="0" w:color="auto"/>
              <w:right w:val="single" w:sz="4" w:space="0" w:color="auto"/>
            </w:tcBorders>
          </w:tcPr>
          <w:p w14:paraId="75CCCD4D"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1.系统采用B/S架构，支持组件化配置授权，可以根据业务按需选择不同类型的浏览器；</w:t>
            </w:r>
            <w:r w:rsidRPr="00EB7B85">
              <w:rPr>
                <w:rFonts w:ascii="仿宋" w:eastAsia="仿宋" w:hAnsi="仿宋" w:cs="仿宋" w:hint="eastAsia"/>
                <w:color w:val="000000"/>
                <w:szCs w:val="21"/>
              </w:rPr>
              <w:br/>
              <w:t>2.具备统一web管理页面，可接入无线、交换机、分支组网、用户认证、安全配置等组件，实现统一运维管理；</w:t>
            </w:r>
            <w:r w:rsidRPr="00EB7B85">
              <w:rPr>
                <w:rFonts w:ascii="仿宋" w:eastAsia="仿宋" w:hAnsi="仿宋" w:cs="仿宋" w:hint="eastAsia"/>
                <w:color w:val="000000"/>
                <w:szCs w:val="21"/>
              </w:rPr>
              <w:br/>
              <w:t>3.一套软件实现有线网络与无线网络一体化管理，包括统一管理，统一策略，统一转发，统一拓扑呈现；</w:t>
            </w:r>
            <w:r w:rsidRPr="00EB7B85">
              <w:rPr>
                <w:rFonts w:ascii="仿宋" w:eastAsia="仿宋" w:hAnsi="仿宋" w:cs="仿宋" w:hint="eastAsia"/>
                <w:color w:val="000000"/>
                <w:szCs w:val="21"/>
              </w:rPr>
              <w:br/>
              <w:t>4.配置网络管理平台软件授权，实际配置160台交换机管理授权，配置1300个无线AP管理授权；</w:t>
            </w:r>
            <w:r w:rsidRPr="00EB7B85">
              <w:rPr>
                <w:rFonts w:ascii="仿宋" w:eastAsia="仿宋" w:hAnsi="仿宋" w:cs="仿宋" w:hint="eastAsia"/>
                <w:color w:val="000000"/>
                <w:szCs w:val="21"/>
              </w:rPr>
              <w:br/>
              <w:t>5.硬件配置：考虑到单位数据安全问题，本次采用本地化部署，配置本次SDN管理平台所需硬件资源，满足SDN平台稳定运行</w:t>
            </w:r>
          </w:p>
        </w:tc>
        <w:tc>
          <w:tcPr>
            <w:tcW w:w="0" w:type="auto"/>
            <w:tcBorders>
              <w:top w:val="nil"/>
              <w:left w:val="nil"/>
              <w:bottom w:val="single" w:sz="4" w:space="0" w:color="auto"/>
              <w:right w:val="single" w:sz="4" w:space="0" w:color="auto"/>
            </w:tcBorders>
            <w:vAlign w:val="center"/>
          </w:tcPr>
          <w:p w14:paraId="153AAF18"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54FBB6D9"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套</w:t>
            </w:r>
          </w:p>
        </w:tc>
      </w:tr>
      <w:tr w:rsidR="001D60AB" w:rsidRPr="00EB7B85" w14:paraId="1656431E" w14:textId="77777777">
        <w:trPr>
          <w:trHeight w:val="561"/>
        </w:trPr>
        <w:tc>
          <w:tcPr>
            <w:tcW w:w="0" w:type="auto"/>
            <w:tcBorders>
              <w:top w:val="nil"/>
              <w:left w:val="single" w:sz="4" w:space="0" w:color="auto"/>
              <w:bottom w:val="single" w:sz="4" w:space="0" w:color="auto"/>
              <w:right w:val="single" w:sz="4" w:space="0" w:color="auto"/>
            </w:tcBorders>
            <w:vAlign w:val="center"/>
          </w:tcPr>
          <w:p w14:paraId="756D8E3C"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服务器</w:t>
            </w:r>
          </w:p>
        </w:tc>
        <w:tc>
          <w:tcPr>
            <w:tcW w:w="0" w:type="auto"/>
            <w:tcBorders>
              <w:top w:val="nil"/>
              <w:left w:val="nil"/>
              <w:bottom w:val="single" w:sz="4" w:space="0" w:color="auto"/>
              <w:right w:val="single" w:sz="4" w:space="0" w:color="auto"/>
            </w:tcBorders>
            <w:vAlign w:val="center"/>
          </w:tcPr>
          <w:p w14:paraId="71504B14"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CPU 32核 内存128G 系统盘128G数据盘1T</w:t>
            </w:r>
          </w:p>
        </w:tc>
        <w:tc>
          <w:tcPr>
            <w:tcW w:w="0" w:type="auto"/>
            <w:tcBorders>
              <w:top w:val="nil"/>
              <w:left w:val="nil"/>
              <w:bottom w:val="single" w:sz="4" w:space="0" w:color="auto"/>
              <w:right w:val="single" w:sz="4" w:space="0" w:color="auto"/>
            </w:tcBorders>
            <w:noWrap/>
            <w:vAlign w:val="center"/>
          </w:tcPr>
          <w:p w14:paraId="404DA19C"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noWrap/>
            <w:vAlign w:val="center"/>
          </w:tcPr>
          <w:p w14:paraId="427B68A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370B6001" w14:textId="77777777">
        <w:trPr>
          <w:trHeight w:val="561"/>
        </w:trPr>
        <w:tc>
          <w:tcPr>
            <w:tcW w:w="0" w:type="auto"/>
            <w:tcBorders>
              <w:top w:val="nil"/>
              <w:left w:val="single" w:sz="4" w:space="0" w:color="auto"/>
              <w:bottom w:val="single" w:sz="4" w:space="0" w:color="auto"/>
              <w:right w:val="single" w:sz="4" w:space="0" w:color="auto"/>
            </w:tcBorders>
            <w:vAlign w:val="center"/>
          </w:tcPr>
          <w:p w14:paraId="747E2636"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万兆光模块</w:t>
            </w:r>
          </w:p>
        </w:tc>
        <w:tc>
          <w:tcPr>
            <w:tcW w:w="0" w:type="auto"/>
            <w:tcBorders>
              <w:top w:val="nil"/>
              <w:left w:val="nil"/>
              <w:bottom w:val="single" w:sz="4" w:space="0" w:color="auto"/>
              <w:right w:val="single" w:sz="4" w:space="0" w:color="auto"/>
            </w:tcBorders>
            <w:vAlign w:val="center"/>
          </w:tcPr>
          <w:p w14:paraId="663CEE68" w14:textId="77777777" w:rsidR="001D60AB" w:rsidRPr="00EB7B85" w:rsidRDefault="00000000">
            <w:pPr>
              <w:widowControl/>
              <w:rPr>
                <w:rFonts w:ascii="仿宋" w:eastAsia="仿宋" w:hAnsi="仿宋" w:cs="仿宋" w:hint="eastAsia"/>
                <w:color w:val="000000"/>
                <w:szCs w:val="21"/>
              </w:rPr>
            </w:pPr>
            <w:r w:rsidRPr="00EB7B85">
              <w:rPr>
                <w:rFonts w:ascii="仿宋" w:eastAsia="仿宋" w:hAnsi="仿宋" w:cs="仿宋" w:hint="eastAsia"/>
                <w:color w:val="000000"/>
                <w:szCs w:val="21"/>
              </w:rPr>
              <w:t>SFP+ 万兆</w:t>
            </w:r>
            <w:proofErr w:type="gramStart"/>
            <w:r w:rsidRPr="00EB7B85">
              <w:rPr>
                <w:rFonts w:ascii="仿宋" w:eastAsia="仿宋" w:hAnsi="仿宋" w:cs="仿宋" w:hint="eastAsia"/>
                <w:color w:val="000000"/>
                <w:szCs w:val="21"/>
              </w:rPr>
              <w:t>多模光模块</w:t>
            </w:r>
            <w:proofErr w:type="gramEnd"/>
            <w:r w:rsidRPr="00EB7B85">
              <w:rPr>
                <w:rFonts w:ascii="仿宋" w:eastAsia="仿宋" w:hAnsi="仿宋" w:cs="仿宋" w:hint="eastAsia"/>
                <w:color w:val="000000"/>
                <w:szCs w:val="21"/>
              </w:rPr>
              <w:t>，多模，850nm，最大传输距离 300m，接头类型：LC</w:t>
            </w:r>
          </w:p>
        </w:tc>
        <w:tc>
          <w:tcPr>
            <w:tcW w:w="0" w:type="auto"/>
            <w:tcBorders>
              <w:top w:val="nil"/>
              <w:left w:val="nil"/>
              <w:bottom w:val="single" w:sz="4" w:space="0" w:color="auto"/>
              <w:right w:val="single" w:sz="4" w:space="0" w:color="auto"/>
            </w:tcBorders>
            <w:noWrap/>
            <w:vAlign w:val="center"/>
          </w:tcPr>
          <w:p w14:paraId="035554B4"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noWrap/>
            <w:vAlign w:val="center"/>
          </w:tcPr>
          <w:p w14:paraId="13AC1C5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块</w:t>
            </w:r>
          </w:p>
        </w:tc>
      </w:tr>
      <w:tr w:rsidR="001D60AB" w:rsidRPr="00EB7B85" w14:paraId="2CC9BE5C" w14:textId="77777777">
        <w:trPr>
          <w:trHeight w:val="561"/>
        </w:trPr>
        <w:tc>
          <w:tcPr>
            <w:tcW w:w="0" w:type="auto"/>
            <w:tcBorders>
              <w:top w:val="nil"/>
              <w:left w:val="single" w:sz="4" w:space="0" w:color="auto"/>
              <w:bottom w:val="single" w:sz="4" w:space="0" w:color="auto"/>
              <w:right w:val="single" w:sz="4" w:space="0" w:color="auto"/>
            </w:tcBorders>
            <w:noWrap/>
            <w:vAlign w:val="center"/>
          </w:tcPr>
          <w:p w14:paraId="4EDAD497"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汇聚交换机</w:t>
            </w:r>
          </w:p>
        </w:tc>
        <w:tc>
          <w:tcPr>
            <w:tcW w:w="0" w:type="auto"/>
            <w:tcBorders>
              <w:top w:val="nil"/>
              <w:left w:val="nil"/>
              <w:bottom w:val="single" w:sz="4" w:space="0" w:color="auto"/>
              <w:right w:val="single" w:sz="4" w:space="0" w:color="auto"/>
            </w:tcBorders>
          </w:tcPr>
          <w:p w14:paraId="451E039B"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1.交换容量≥2.56Tbps/23.04Tbps；包转发率≥720Mpps/1260Mpps；</w:t>
            </w:r>
          </w:p>
          <w:p w14:paraId="60749D1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2.万兆SFP+</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≥24个；40G QSFP+</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≥2个；Console口≥1个；Manage口≥1个；</w:t>
            </w:r>
          </w:p>
          <w:p w14:paraId="01A11F1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3.支持双交流电源模块1+1冗余（热插拔）；</w:t>
            </w:r>
          </w:p>
          <w:p w14:paraId="61FBFA8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4.支持MAC地址≥32K；</w:t>
            </w:r>
          </w:p>
          <w:p w14:paraId="631DFEC4"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5.</w:t>
            </w:r>
            <w:r w:rsidRPr="00EB7B85">
              <w:rPr>
                <w:rFonts w:ascii="仿宋" w:eastAsia="仿宋" w:hAnsi="仿宋" w:cs="仿宋" w:hint="eastAsia"/>
                <w:szCs w:val="21"/>
              </w:rPr>
              <w:t xml:space="preserve"> </w:t>
            </w:r>
            <w:r w:rsidRPr="00EB7B85">
              <w:rPr>
                <w:rFonts w:ascii="仿宋" w:eastAsia="仿宋" w:hAnsi="仿宋" w:cs="仿宋" w:hint="eastAsia"/>
                <w:color w:val="000000"/>
                <w:szCs w:val="21"/>
              </w:rPr>
              <w:t>支持零配置上线：支持二层广播自动发现控制器平台；支持配置静态IP地址三层发现控制器平台；支持DHCP Option43方式发现控制器平台；支持DNS域名发现控制器平台；</w:t>
            </w:r>
          </w:p>
        </w:tc>
        <w:tc>
          <w:tcPr>
            <w:tcW w:w="0" w:type="auto"/>
            <w:tcBorders>
              <w:top w:val="nil"/>
              <w:left w:val="nil"/>
              <w:bottom w:val="single" w:sz="4" w:space="0" w:color="auto"/>
              <w:right w:val="single" w:sz="4" w:space="0" w:color="auto"/>
            </w:tcBorders>
            <w:noWrap/>
            <w:vAlign w:val="center"/>
          </w:tcPr>
          <w:p w14:paraId="1CD5A558"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5</w:t>
            </w:r>
          </w:p>
        </w:tc>
        <w:tc>
          <w:tcPr>
            <w:tcW w:w="0" w:type="auto"/>
            <w:tcBorders>
              <w:top w:val="nil"/>
              <w:left w:val="nil"/>
              <w:bottom w:val="single" w:sz="4" w:space="0" w:color="auto"/>
              <w:right w:val="single" w:sz="4" w:space="0" w:color="auto"/>
            </w:tcBorders>
            <w:noWrap/>
            <w:vAlign w:val="center"/>
          </w:tcPr>
          <w:p w14:paraId="3037D18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2C1B51C1" w14:textId="77777777">
        <w:trPr>
          <w:trHeight w:val="561"/>
        </w:trPr>
        <w:tc>
          <w:tcPr>
            <w:tcW w:w="0" w:type="auto"/>
            <w:tcBorders>
              <w:top w:val="nil"/>
              <w:left w:val="single" w:sz="4" w:space="0" w:color="auto"/>
              <w:bottom w:val="single" w:sz="4" w:space="0" w:color="auto"/>
              <w:right w:val="single" w:sz="4" w:space="0" w:color="auto"/>
            </w:tcBorders>
            <w:vAlign w:val="center"/>
          </w:tcPr>
          <w:p w14:paraId="09927768"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8口POE交换机</w:t>
            </w:r>
          </w:p>
        </w:tc>
        <w:tc>
          <w:tcPr>
            <w:tcW w:w="0" w:type="auto"/>
            <w:tcBorders>
              <w:top w:val="nil"/>
              <w:left w:val="nil"/>
              <w:bottom w:val="single" w:sz="4" w:space="0" w:color="auto"/>
              <w:right w:val="single" w:sz="4" w:space="0" w:color="auto"/>
            </w:tcBorders>
          </w:tcPr>
          <w:p w14:paraId="1772B75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1.千兆POE</w:t>
            </w:r>
            <w:proofErr w:type="gramStart"/>
            <w:r w:rsidRPr="00EB7B85">
              <w:rPr>
                <w:rFonts w:ascii="仿宋" w:eastAsia="仿宋" w:hAnsi="仿宋" w:cs="仿宋" w:hint="eastAsia"/>
                <w:color w:val="000000"/>
                <w:szCs w:val="21"/>
              </w:rPr>
              <w:t>电口数</w:t>
            </w:r>
            <w:proofErr w:type="gramEnd"/>
            <w:r w:rsidRPr="00EB7B85">
              <w:rPr>
                <w:rFonts w:ascii="仿宋" w:eastAsia="仿宋" w:hAnsi="仿宋" w:cs="仿宋" w:hint="eastAsia"/>
                <w:color w:val="000000"/>
                <w:szCs w:val="21"/>
              </w:rPr>
              <w:t>≥8个，1G/2.5G SFP</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≥2个，Console口≥1个；</w:t>
            </w:r>
          </w:p>
          <w:p w14:paraId="026CCE29"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2.交换容量≥672Gbps/6.72Tbps，包转发率≥102Mpps/126Mpps;</w:t>
            </w:r>
          </w:p>
          <w:p w14:paraId="3D14899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3.支持IEEE 802.3af/at供电标准，整机最大输出功率≥120W</w:t>
            </w:r>
          </w:p>
        </w:tc>
        <w:tc>
          <w:tcPr>
            <w:tcW w:w="0" w:type="auto"/>
            <w:tcBorders>
              <w:top w:val="nil"/>
              <w:left w:val="nil"/>
              <w:bottom w:val="single" w:sz="4" w:space="0" w:color="auto"/>
              <w:right w:val="single" w:sz="4" w:space="0" w:color="auto"/>
            </w:tcBorders>
            <w:noWrap/>
            <w:vAlign w:val="center"/>
          </w:tcPr>
          <w:p w14:paraId="7DB841D9"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74</w:t>
            </w:r>
          </w:p>
        </w:tc>
        <w:tc>
          <w:tcPr>
            <w:tcW w:w="0" w:type="auto"/>
            <w:tcBorders>
              <w:top w:val="nil"/>
              <w:left w:val="nil"/>
              <w:bottom w:val="single" w:sz="4" w:space="0" w:color="auto"/>
              <w:right w:val="single" w:sz="4" w:space="0" w:color="auto"/>
            </w:tcBorders>
            <w:noWrap/>
            <w:vAlign w:val="center"/>
          </w:tcPr>
          <w:p w14:paraId="03F57FF7"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6C63664A" w14:textId="77777777">
        <w:trPr>
          <w:trHeight w:val="561"/>
        </w:trPr>
        <w:tc>
          <w:tcPr>
            <w:tcW w:w="0" w:type="auto"/>
            <w:tcBorders>
              <w:top w:val="nil"/>
              <w:left w:val="single" w:sz="4" w:space="0" w:color="auto"/>
              <w:bottom w:val="single" w:sz="4" w:space="0" w:color="auto"/>
              <w:right w:val="single" w:sz="4" w:space="0" w:color="auto"/>
            </w:tcBorders>
            <w:vAlign w:val="center"/>
          </w:tcPr>
          <w:p w14:paraId="7AF6CC76"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lastRenderedPageBreak/>
              <w:t>24口POE交换机</w:t>
            </w:r>
          </w:p>
        </w:tc>
        <w:tc>
          <w:tcPr>
            <w:tcW w:w="0" w:type="auto"/>
            <w:tcBorders>
              <w:top w:val="nil"/>
              <w:left w:val="nil"/>
              <w:bottom w:val="single" w:sz="4" w:space="0" w:color="auto"/>
              <w:right w:val="single" w:sz="4" w:space="0" w:color="auto"/>
            </w:tcBorders>
          </w:tcPr>
          <w:p w14:paraId="4E8C2662"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1.千兆POE</w:t>
            </w:r>
            <w:proofErr w:type="gramStart"/>
            <w:r w:rsidRPr="00EB7B85">
              <w:rPr>
                <w:rFonts w:ascii="仿宋" w:eastAsia="仿宋" w:hAnsi="仿宋" w:cs="仿宋" w:hint="eastAsia"/>
                <w:color w:val="000000"/>
                <w:szCs w:val="21"/>
              </w:rPr>
              <w:t>电口数</w:t>
            </w:r>
            <w:proofErr w:type="gramEnd"/>
            <w:r w:rsidRPr="00EB7B85">
              <w:rPr>
                <w:rFonts w:ascii="仿宋" w:eastAsia="仿宋" w:hAnsi="仿宋" w:cs="仿宋" w:hint="eastAsia"/>
                <w:color w:val="000000"/>
                <w:szCs w:val="21"/>
              </w:rPr>
              <w:t>≥24个，2.5G</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≥4个，Console口≥1个；</w:t>
            </w:r>
          </w:p>
          <w:p w14:paraId="7085DCF5"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2.交换容量≥672Gbps/6.72Tbps，包转发率≥126Mpps/179Mpps；</w:t>
            </w:r>
          </w:p>
          <w:p w14:paraId="20E926C1"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3.支持IEEE 802.3af/at供电标准，整机最大输出功率≥370W；</w:t>
            </w:r>
          </w:p>
        </w:tc>
        <w:tc>
          <w:tcPr>
            <w:tcW w:w="0" w:type="auto"/>
            <w:tcBorders>
              <w:top w:val="nil"/>
              <w:left w:val="nil"/>
              <w:bottom w:val="single" w:sz="4" w:space="0" w:color="auto"/>
              <w:right w:val="single" w:sz="4" w:space="0" w:color="auto"/>
            </w:tcBorders>
            <w:noWrap/>
            <w:vAlign w:val="center"/>
          </w:tcPr>
          <w:p w14:paraId="4D2E36AA"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11</w:t>
            </w:r>
          </w:p>
        </w:tc>
        <w:tc>
          <w:tcPr>
            <w:tcW w:w="0" w:type="auto"/>
            <w:tcBorders>
              <w:top w:val="nil"/>
              <w:left w:val="nil"/>
              <w:bottom w:val="single" w:sz="4" w:space="0" w:color="auto"/>
              <w:right w:val="single" w:sz="4" w:space="0" w:color="auto"/>
            </w:tcBorders>
            <w:noWrap/>
            <w:vAlign w:val="center"/>
          </w:tcPr>
          <w:p w14:paraId="63DCF7A3"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644501B0" w14:textId="77777777">
        <w:trPr>
          <w:trHeight w:val="561"/>
        </w:trPr>
        <w:tc>
          <w:tcPr>
            <w:tcW w:w="0" w:type="auto"/>
            <w:tcBorders>
              <w:top w:val="nil"/>
              <w:left w:val="single" w:sz="4" w:space="0" w:color="auto"/>
              <w:bottom w:val="single" w:sz="4" w:space="0" w:color="auto"/>
              <w:right w:val="single" w:sz="4" w:space="0" w:color="auto"/>
            </w:tcBorders>
            <w:vAlign w:val="center"/>
          </w:tcPr>
          <w:p w14:paraId="71DC14CA"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24口接入交换机</w:t>
            </w:r>
          </w:p>
        </w:tc>
        <w:tc>
          <w:tcPr>
            <w:tcW w:w="0" w:type="auto"/>
            <w:tcBorders>
              <w:top w:val="nil"/>
              <w:left w:val="nil"/>
              <w:bottom w:val="single" w:sz="4" w:space="0" w:color="auto"/>
              <w:right w:val="single" w:sz="4" w:space="0" w:color="auto"/>
            </w:tcBorders>
          </w:tcPr>
          <w:p w14:paraId="5010DFF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w:t>
            </w:r>
            <w:proofErr w:type="gramStart"/>
            <w:r w:rsidRPr="00EB7B85">
              <w:rPr>
                <w:rFonts w:ascii="仿宋" w:eastAsia="仿宋" w:hAnsi="仿宋" w:cs="仿宋" w:hint="eastAsia"/>
                <w:color w:val="000000"/>
                <w:szCs w:val="21"/>
              </w:rPr>
              <w:t>千兆电口</w:t>
            </w:r>
            <w:proofErr w:type="gramEnd"/>
            <w:r w:rsidRPr="00EB7B85">
              <w:rPr>
                <w:rFonts w:ascii="仿宋" w:eastAsia="仿宋" w:hAnsi="仿宋" w:cs="仿宋" w:hint="eastAsia"/>
                <w:color w:val="000000"/>
                <w:szCs w:val="21"/>
              </w:rPr>
              <w:t>数≥24个，2.5G</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≥4个，Console口≥1个；</w:t>
            </w:r>
          </w:p>
          <w:p w14:paraId="3F744B34"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2.交换容量≥672Gbps/6.72Tbps，包转发率≥126Mpps/179Mpps；</w:t>
            </w:r>
          </w:p>
          <w:p w14:paraId="08C61B5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3.支持MAC地址≥16K；</w:t>
            </w:r>
          </w:p>
        </w:tc>
        <w:tc>
          <w:tcPr>
            <w:tcW w:w="0" w:type="auto"/>
            <w:tcBorders>
              <w:top w:val="nil"/>
              <w:left w:val="nil"/>
              <w:bottom w:val="single" w:sz="4" w:space="0" w:color="auto"/>
              <w:right w:val="single" w:sz="4" w:space="0" w:color="auto"/>
            </w:tcBorders>
            <w:noWrap/>
            <w:vAlign w:val="center"/>
          </w:tcPr>
          <w:p w14:paraId="07B542E2"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10</w:t>
            </w:r>
          </w:p>
        </w:tc>
        <w:tc>
          <w:tcPr>
            <w:tcW w:w="0" w:type="auto"/>
            <w:tcBorders>
              <w:top w:val="nil"/>
              <w:left w:val="nil"/>
              <w:bottom w:val="single" w:sz="4" w:space="0" w:color="auto"/>
              <w:right w:val="single" w:sz="4" w:space="0" w:color="auto"/>
            </w:tcBorders>
            <w:noWrap/>
            <w:vAlign w:val="center"/>
          </w:tcPr>
          <w:p w14:paraId="64CA8C2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05DA518C" w14:textId="77777777">
        <w:trPr>
          <w:trHeight w:val="561"/>
        </w:trPr>
        <w:tc>
          <w:tcPr>
            <w:tcW w:w="0" w:type="auto"/>
            <w:tcBorders>
              <w:top w:val="nil"/>
              <w:left w:val="single" w:sz="4" w:space="0" w:color="auto"/>
              <w:bottom w:val="single" w:sz="4" w:space="0" w:color="auto"/>
              <w:right w:val="single" w:sz="4" w:space="0" w:color="auto"/>
            </w:tcBorders>
            <w:noWrap/>
            <w:vAlign w:val="center"/>
          </w:tcPr>
          <w:p w14:paraId="004EE711"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面板AP</w:t>
            </w:r>
          </w:p>
        </w:tc>
        <w:tc>
          <w:tcPr>
            <w:tcW w:w="0" w:type="auto"/>
            <w:tcBorders>
              <w:top w:val="nil"/>
              <w:left w:val="nil"/>
              <w:bottom w:val="single" w:sz="4" w:space="0" w:color="auto"/>
              <w:right w:val="single" w:sz="4" w:space="0" w:color="auto"/>
            </w:tcBorders>
          </w:tcPr>
          <w:p w14:paraId="725521B4"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1.802.11ax 协议，兼容802.11a/b/g/n/ac协议，支持2.4G和5G同时工作；</w:t>
            </w:r>
          </w:p>
          <w:p w14:paraId="5FE93C8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2.整机最大传输速率≥2.975Gbps；</w:t>
            </w:r>
          </w:p>
          <w:p w14:paraId="5C7B9EBF"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 xml:space="preserve">3.上联千兆以太网口≥1个，下联千兆以太网口≥4个； </w:t>
            </w:r>
          </w:p>
          <w:p w14:paraId="3A3CBBF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4.安装尺寸符合86盒国家标准；</w:t>
            </w:r>
          </w:p>
          <w:p w14:paraId="12BBEB31"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5.支持802.3at标准的PoE供电；</w:t>
            </w:r>
          </w:p>
        </w:tc>
        <w:tc>
          <w:tcPr>
            <w:tcW w:w="0" w:type="auto"/>
            <w:tcBorders>
              <w:top w:val="nil"/>
              <w:left w:val="nil"/>
              <w:bottom w:val="single" w:sz="4" w:space="0" w:color="auto"/>
              <w:right w:val="single" w:sz="4" w:space="0" w:color="auto"/>
            </w:tcBorders>
            <w:noWrap/>
            <w:vAlign w:val="center"/>
          </w:tcPr>
          <w:p w14:paraId="6EB71DC4"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132</w:t>
            </w:r>
          </w:p>
        </w:tc>
        <w:tc>
          <w:tcPr>
            <w:tcW w:w="0" w:type="auto"/>
            <w:tcBorders>
              <w:top w:val="nil"/>
              <w:left w:val="nil"/>
              <w:bottom w:val="single" w:sz="4" w:space="0" w:color="auto"/>
              <w:right w:val="single" w:sz="4" w:space="0" w:color="auto"/>
            </w:tcBorders>
            <w:noWrap/>
            <w:vAlign w:val="center"/>
          </w:tcPr>
          <w:p w14:paraId="326884E6"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0AFC2839" w14:textId="77777777">
        <w:trPr>
          <w:trHeight w:val="561"/>
        </w:trPr>
        <w:tc>
          <w:tcPr>
            <w:tcW w:w="0" w:type="auto"/>
            <w:tcBorders>
              <w:top w:val="nil"/>
              <w:left w:val="single" w:sz="4" w:space="0" w:color="auto"/>
              <w:bottom w:val="single" w:sz="4" w:space="0" w:color="auto"/>
              <w:right w:val="single" w:sz="4" w:space="0" w:color="auto"/>
            </w:tcBorders>
            <w:noWrap/>
            <w:vAlign w:val="center"/>
          </w:tcPr>
          <w:p w14:paraId="1AFDD5CA"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放装AP</w:t>
            </w:r>
          </w:p>
        </w:tc>
        <w:tc>
          <w:tcPr>
            <w:tcW w:w="0" w:type="auto"/>
            <w:tcBorders>
              <w:top w:val="nil"/>
              <w:left w:val="nil"/>
              <w:bottom w:val="single" w:sz="4" w:space="0" w:color="auto"/>
              <w:right w:val="single" w:sz="4" w:space="0" w:color="auto"/>
            </w:tcBorders>
          </w:tcPr>
          <w:p w14:paraId="18012A8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1.最高支持802.11ax 协议，兼容802.11a/b/g/n/ac协议；</w:t>
            </w:r>
          </w:p>
          <w:p w14:paraId="3A2FCECF"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2.整机采用双射频设计，Radio1最大传输速率≥500Mbps，Radio2最大传输速率≥2400Mbps，整机最大传输速率≥2.9Gbps；</w:t>
            </w:r>
          </w:p>
          <w:p w14:paraId="535D6C37"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3.千兆以太网口≥1个；</w:t>
            </w:r>
          </w:p>
          <w:p w14:paraId="0CD3BF9F"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w:t>
            </w:r>
            <w:r w:rsidRPr="00EB7B85">
              <w:rPr>
                <w:rFonts w:ascii="仿宋" w:eastAsia="仿宋" w:hAnsi="仿宋" w:cs="仿宋" w:hint="eastAsia"/>
                <w:szCs w:val="21"/>
              </w:rPr>
              <w:t xml:space="preserve"> </w:t>
            </w:r>
            <w:r w:rsidRPr="00EB7B85">
              <w:rPr>
                <w:rFonts w:ascii="仿宋" w:eastAsia="仿宋" w:hAnsi="仿宋" w:cs="仿宋" w:hint="eastAsia"/>
                <w:color w:val="000000"/>
                <w:szCs w:val="21"/>
              </w:rPr>
              <w:t>无线AP支持联动安全策略，通过安全策略可以实现对疑似感染病毒或已感染病毒的无线客户端进行识别、监控与隔离等多种方式的处理；</w:t>
            </w:r>
          </w:p>
        </w:tc>
        <w:tc>
          <w:tcPr>
            <w:tcW w:w="0" w:type="auto"/>
            <w:tcBorders>
              <w:top w:val="nil"/>
              <w:left w:val="nil"/>
              <w:bottom w:val="single" w:sz="4" w:space="0" w:color="auto"/>
              <w:right w:val="single" w:sz="4" w:space="0" w:color="auto"/>
            </w:tcBorders>
            <w:noWrap/>
            <w:vAlign w:val="center"/>
          </w:tcPr>
          <w:p w14:paraId="6A836D03"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91</w:t>
            </w:r>
          </w:p>
        </w:tc>
        <w:tc>
          <w:tcPr>
            <w:tcW w:w="0" w:type="auto"/>
            <w:tcBorders>
              <w:top w:val="nil"/>
              <w:left w:val="nil"/>
              <w:bottom w:val="single" w:sz="4" w:space="0" w:color="auto"/>
              <w:right w:val="single" w:sz="4" w:space="0" w:color="auto"/>
            </w:tcBorders>
            <w:noWrap/>
            <w:vAlign w:val="center"/>
          </w:tcPr>
          <w:p w14:paraId="0F9EF29A"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46F820CE" w14:textId="77777777">
        <w:trPr>
          <w:trHeight w:val="561"/>
        </w:trPr>
        <w:tc>
          <w:tcPr>
            <w:tcW w:w="0" w:type="auto"/>
            <w:tcBorders>
              <w:top w:val="nil"/>
              <w:left w:val="single" w:sz="4" w:space="0" w:color="auto"/>
              <w:bottom w:val="single" w:sz="4" w:space="0" w:color="auto"/>
              <w:right w:val="single" w:sz="4" w:space="0" w:color="auto"/>
            </w:tcBorders>
            <w:noWrap/>
            <w:vAlign w:val="center"/>
          </w:tcPr>
          <w:p w14:paraId="629DF859"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高密AP</w:t>
            </w:r>
          </w:p>
        </w:tc>
        <w:tc>
          <w:tcPr>
            <w:tcW w:w="0" w:type="auto"/>
            <w:tcBorders>
              <w:top w:val="nil"/>
              <w:left w:val="nil"/>
              <w:bottom w:val="single" w:sz="4" w:space="0" w:color="auto"/>
              <w:right w:val="single" w:sz="4" w:space="0" w:color="auto"/>
            </w:tcBorders>
          </w:tcPr>
          <w:p w14:paraId="2EB3DB2C"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1、802.11ax 协议，兼容802.11a/b/g/n/ac协议，支持2.4G和5G同时工作，为保障无线网络体验，要求2.4G和5G射频最高支持802.11ax协议;</w:t>
            </w:r>
          </w:p>
          <w:p w14:paraId="5314139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2、整机采用三射频设计，整机最大传输速率≥3.84Gbps;</w:t>
            </w:r>
          </w:p>
          <w:p w14:paraId="0E6B4B01"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3、千兆以太网口≥1个，并需提供1个RJ-45 Console管理口,USB接口≥1个，可拓展物联网模块使用，可外接U盘；</w:t>
            </w:r>
          </w:p>
          <w:p w14:paraId="2BF27455"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4、支持802.3at标准的PoE供电和本地电源适配器供电两种方式；</w:t>
            </w:r>
          </w:p>
          <w:p w14:paraId="7A5A3D6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5、整机支持最大200台无线终端同时接入进行流畅视频点播；</w:t>
            </w:r>
          </w:p>
          <w:p w14:paraId="4FC3153C"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6、单射频接入人数最高支持≥512，整机最大接入人数≥1044；</w:t>
            </w:r>
          </w:p>
        </w:tc>
        <w:tc>
          <w:tcPr>
            <w:tcW w:w="0" w:type="auto"/>
            <w:tcBorders>
              <w:top w:val="nil"/>
              <w:left w:val="nil"/>
              <w:bottom w:val="single" w:sz="4" w:space="0" w:color="auto"/>
              <w:right w:val="single" w:sz="4" w:space="0" w:color="auto"/>
            </w:tcBorders>
            <w:noWrap/>
            <w:vAlign w:val="center"/>
          </w:tcPr>
          <w:p w14:paraId="22C77516"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19</w:t>
            </w:r>
          </w:p>
        </w:tc>
        <w:tc>
          <w:tcPr>
            <w:tcW w:w="0" w:type="auto"/>
            <w:tcBorders>
              <w:top w:val="nil"/>
              <w:left w:val="nil"/>
              <w:bottom w:val="single" w:sz="4" w:space="0" w:color="auto"/>
              <w:right w:val="single" w:sz="4" w:space="0" w:color="auto"/>
            </w:tcBorders>
            <w:noWrap/>
            <w:vAlign w:val="center"/>
          </w:tcPr>
          <w:p w14:paraId="2907CC0A"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43E7E8CA" w14:textId="77777777">
        <w:trPr>
          <w:trHeight w:val="561"/>
        </w:trPr>
        <w:tc>
          <w:tcPr>
            <w:tcW w:w="0" w:type="auto"/>
            <w:tcBorders>
              <w:top w:val="nil"/>
              <w:left w:val="single" w:sz="4" w:space="0" w:color="auto"/>
              <w:bottom w:val="single" w:sz="4" w:space="0" w:color="auto"/>
              <w:right w:val="single" w:sz="4" w:space="0" w:color="auto"/>
            </w:tcBorders>
            <w:noWrap/>
            <w:vAlign w:val="center"/>
          </w:tcPr>
          <w:p w14:paraId="28A9FB3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室外AP</w:t>
            </w:r>
          </w:p>
        </w:tc>
        <w:tc>
          <w:tcPr>
            <w:tcW w:w="0" w:type="auto"/>
            <w:tcBorders>
              <w:top w:val="nil"/>
              <w:left w:val="nil"/>
              <w:bottom w:val="single" w:sz="4" w:space="0" w:color="auto"/>
              <w:right w:val="single" w:sz="4" w:space="0" w:color="auto"/>
            </w:tcBorders>
          </w:tcPr>
          <w:p w14:paraId="6CBDE8E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1、千兆</w:t>
            </w:r>
            <w:proofErr w:type="gramStart"/>
            <w:r w:rsidRPr="00EB7B85">
              <w:rPr>
                <w:rFonts w:ascii="仿宋" w:eastAsia="仿宋" w:hAnsi="仿宋" w:cs="仿宋" w:hint="eastAsia"/>
                <w:color w:val="000000"/>
                <w:szCs w:val="21"/>
              </w:rPr>
              <w:t>以太网电口</w:t>
            </w:r>
            <w:proofErr w:type="gramEnd"/>
            <w:r w:rsidRPr="00EB7B85">
              <w:rPr>
                <w:rFonts w:ascii="仿宋" w:eastAsia="仿宋" w:hAnsi="仿宋" w:cs="仿宋" w:hint="eastAsia"/>
                <w:color w:val="000000"/>
                <w:szCs w:val="21"/>
              </w:rPr>
              <w:t xml:space="preserve">≥2 </w:t>
            </w:r>
            <w:proofErr w:type="gramStart"/>
            <w:r w:rsidRPr="00EB7B85">
              <w:rPr>
                <w:rFonts w:ascii="仿宋" w:eastAsia="仿宋" w:hAnsi="仿宋" w:cs="仿宋" w:hint="eastAsia"/>
                <w:color w:val="000000"/>
                <w:szCs w:val="21"/>
              </w:rPr>
              <w:t>个</w:t>
            </w:r>
            <w:proofErr w:type="gramEnd"/>
            <w:r w:rsidRPr="00EB7B85">
              <w:rPr>
                <w:rFonts w:ascii="仿宋" w:eastAsia="仿宋" w:hAnsi="仿宋" w:cs="仿宋" w:hint="eastAsia"/>
                <w:color w:val="000000"/>
                <w:szCs w:val="21"/>
              </w:rPr>
              <w:t xml:space="preserve"> ，千兆</w:t>
            </w:r>
            <w:proofErr w:type="gramStart"/>
            <w:r w:rsidRPr="00EB7B85">
              <w:rPr>
                <w:rFonts w:ascii="仿宋" w:eastAsia="仿宋" w:hAnsi="仿宋" w:cs="仿宋" w:hint="eastAsia"/>
                <w:color w:val="000000"/>
                <w:szCs w:val="21"/>
              </w:rPr>
              <w:t>以太网光口</w:t>
            </w:r>
            <w:proofErr w:type="gramEnd"/>
            <w:r w:rsidRPr="00EB7B85">
              <w:rPr>
                <w:rFonts w:ascii="仿宋" w:eastAsia="仿宋" w:hAnsi="仿宋" w:cs="仿宋" w:hint="eastAsia"/>
                <w:color w:val="000000"/>
                <w:szCs w:val="21"/>
              </w:rPr>
              <w:t xml:space="preserve">≥1 </w:t>
            </w:r>
            <w:proofErr w:type="gramStart"/>
            <w:r w:rsidRPr="00EB7B85">
              <w:rPr>
                <w:rFonts w:ascii="仿宋" w:eastAsia="仿宋" w:hAnsi="仿宋" w:cs="仿宋" w:hint="eastAsia"/>
                <w:color w:val="000000"/>
                <w:szCs w:val="21"/>
              </w:rPr>
              <w:t>个</w:t>
            </w:r>
            <w:proofErr w:type="gramEnd"/>
            <w:r w:rsidRPr="00EB7B85">
              <w:rPr>
                <w:rFonts w:ascii="仿宋" w:eastAsia="仿宋" w:hAnsi="仿宋" w:cs="仿宋" w:hint="eastAsia"/>
                <w:color w:val="000000"/>
                <w:szCs w:val="21"/>
              </w:rPr>
              <w:t>,USB接口≥1个；</w:t>
            </w:r>
          </w:p>
          <w:p w14:paraId="12303F30"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2、支持802.11ax 协议，兼容802.11a/b/g/n/ac协议，支持2.4G和5G同时工作，整机最大传输速率≥2.9Gbps；</w:t>
            </w:r>
          </w:p>
        </w:tc>
        <w:tc>
          <w:tcPr>
            <w:tcW w:w="0" w:type="auto"/>
            <w:tcBorders>
              <w:top w:val="nil"/>
              <w:left w:val="nil"/>
              <w:bottom w:val="single" w:sz="4" w:space="0" w:color="auto"/>
              <w:right w:val="single" w:sz="4" w:space="0" w:color="auto"/>
            </w:tcBorders>
            <w:noWrap/>
            <w:vAlign w:val="center"/>
          </w:tcPr>
          <w:p w14:paraId="531AAF1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9</w:t>
            </w:r>
          </w:p>
        </w:tc>
        <w:tc>
          <w:tcPr>
            <w:tcW w:w="0" w:type="auto"/>
            <w:tcBorders>
              <w:top w:val="nil"/>
              <w:left w:val="nil"/>
              <w:bottom w:val="single" w:sz="4" w:space="0" w:color="auto"/>
              <w:right w:val="single" w:sz="4" w:space="0" w:color="auto"/>
            </w:tcBorders>
            <w:noWrap/>
            <w:vAlign w:val="center"/>
          </w:tcPr>
          <w:p w14:paraId="08470DA7"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22A043BF" w14:textId="77777777">
        <w:trPr>
          <w:trHeight w:val="561"/>
        </w:trPr>
        <w:tc>
          <w:tcPr>
            <w:tcW w:w="0" w:type="auto"/>
            <w:tcBorders>
              <w:top w:val="nil"/>
              <w:left w:val="single" w:sz="4" w:space="0" w:color="auto"/>
              <w:bottom w:val="single" w:sz="4" w:space="0" w:color="auto"/>
              <w:right w:val="single" w:sz="4" w:space="0" w:color="auto"/>
            </w:tcBorders>
            <w:vAlign w:val="center"/>
          </w:tcPr>
          <w:p w14:paraId="5B83C88E"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万兆光模块</w:t>
            </w:r>
          </w:p>
        </w:tc>
        <w:tc>
          <w:tcPr>
            <w:tcW w:w="0" w:type="auto"/>
            <w:tcBorders>
              <w:top w:val="nil"/>
              <w:left w:val="nil"/>
              <w:bottom w:val="single" w:sz="4" w:space="0" w:color="auto"/>
              <w:right w:val="single" w:sz="4" w:space="0" w:color="auto"/>
            </w:tcBorders>
            <w:vAlign w:val="center"/>
          </w:tcPr>
          <w:p w14:paraId="244FEAB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SFP+ 万兆单模光模块，单模，1310nm，最大传输距离 10km，接头类型：LC</w:t>
            </w:r>
          </w:p>
        </w:tc>
        <w:tc>
          <w:tcPr>
            <w:tcW w:w="0" w:type="auto"/>
            <w:tcBorders>
              <w:top w:val="nil"/>
              <w:left w:val="nil"/>
              <w:bottom w:val="single" w:sz="4" w:space="0" w:color="auto"/>
              <w:right w:val="single" w:sz="4" w:space="0" w:color="auto"/>
            </w:tcBorders>
            <w:noWrap/>
            <w:vAlign w:val="center"/>
          </w:tcPr>
          <w:p w14:paraId="2076476C"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62</w:t>
            </w:r>
          </w:p>
        </w:tc>
        <w:tc>
          <w:tcPr>
            <w:tcW w:w="0" w:type="auto"/>
            <w:tcBorders>
              <w:top w:val="nil"/>
              <w:left w:val="nil"/>
              <w:bottom w:val="single" w:sz="4" w:space="0" w:color="auto"/>
              <w:right w:val="single" w:sz="4" w:space="0" w:color="auto"/>
            </w:tcBorders>
            <w:noWrap/>
            <w:vAlign w:val="center"/>
          </w:tcPr>
          <w:p w14:paraId="4B91D80D"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块</w:t>
            </w:r>
          </w:p>
        </w:tc>
      </w:tr>
      <w:tr w:rsidR="001D60AB" w:rsidRPr="00EB7B85" w14:paraId="38DFBA49" w14:textId="77777777">
        <w:trPr>
          <w:trHeight w:val="561"/>
        </w:trPr>
        <w:tc>
          <w:tcPr>
            <w:tcW w:w="0" w:type="auto"/>
            <w:tcBorders>
              <w:top w:val="nil"/>
              <w:left w:val="single" w:sz="4" w:space="0" w:color="auto"/>
              <w:bottom w:val="single" w:sz="4" w:space="0" w:color="auto"/>
              <w:right w:val="single" w:sz="4" w:space="0" w:color="auto"/>
            </w:tcBorders>
            <w:vAlign w:val="center"/>
          </w:tcPr>
          <w:p w14:paraId="7F86F254" w14:textId="77777777" w:rsidR="001D60AB" w:rsidRPr="00EB7B85" w:rsidRDefault="00000000">
            <w:pPr>
              <w:widowControl/>
              <w:jc w:val="center"/>
              <w:rPr>
                <w:rFonts w:ascii="仿宋" w:eastAsia="仿宋" w:hAnsi="仿宋" w:cs="仿宋" w:hint="eastAsia"/>
                <w:color w:val="000000"/>
                <w:szCs w:val="21"/>
              </w:rPr>
            </w:pPr>
            <w:proofErr w:type="gramStart"/>
            <w:r w:rsidRPr="00EB7B85">
              <w:rPr>
                <w:rFonts w:ascii="仿宋" w:eastAsia="仿宋" w:hAnsi="仿宋" w:cs="仿宋" w:hint="eastAsia"/>
                <w:color w:val="000000"/>
                <w:szCs w:val="21"/>
              </w:rPr>
              <w:t>千兆光</w:t>
            </w:r>
            <w:proofErr w:type="gramEnd"/>
            <w:r w:rsidRPr="00EB7B85">
              <w:rPr>
                <w:rFonts w:ascii="仿宋" w:eastAsia="仿宋" w:hAnsi="仿宋" w:cs="仿宋" w:hint="eastAsia"/>
                <w:color w:val="000000"/>
                <w:szCs w:val="21"/>
              </w:rPr>
              <w:t>模块</w:t>
            </w:r>
          </w:p>
        </w:tc>
        <w:tc>
          <w:tcPr>
            <w:tcW w:w="0" w:type="auto"/>
            <w:tcBorders>
              <w:top w:val="nil"/>
              <w:left w:val="nil"/>
              <w:bottom w:val="single" w:sz="4" w:space="0" w:color="auto"/>
              <w:right w:val="single" w:sz="4" w:space="0" w:color="auto"/>
            </w:tcBorders>
            <w:vAlign w:val="center"/>
          </w:tcPr>
          <w:p w14:paraId="2D0B5AF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SFP 千兆单模光模块，单模，1310nm，最大传输距离 10km，接头类型：LC</w:t>
            </w:r>
          </w:p>
        </w:tc>
        <w:tc>
          <w:tcPr>
            <w:tcW w:w="0" w:type="auto"/>
            <w:tcBorders>
              <w:top w:val="nil"/>
              <w:left w:val="nil"/>
              <w:bottom w:val="single" w:sz="4" w:space="0" w:color="auto"/>
              <w:right w:val="single" w:sz="4" w:space="0" w:color="auto"/>
            </w:tcBorders>
            <w:noWrap/>
            <w:vAlign w:val="center"/>
          </w:tcPr>
          <w:p w14:paraId="22B52106"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148</w:t>
            </w:r>
          </w:p>
        </w:tc>
        <w:tc>
          <w:tcPr>
            <w:tcW w:w="0" w:type="auto"/>
            <w:tcBorders>
              <w:top w:val="nil"/>
              <w:left w:val="nil"/>
              <w:bottom w:val="single" w:sz="4" w:space="0" w:color="auto"/>
              <w:right w:val="single" w:sz="4" w:space="0" w:color="auto"/>
            </w:tcBorders>
            <w:noWrap/>
            <w:vAlign w:val="center"/>
          </w:tcPr>
          <w:p w14:paraId="1B42BACE"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块</w:t>
            </w:r>
          </w:p>
        </w:tc>
      </w:tr>
      <w:tr w:rsidR="001D60AB" w:rsidRPr="00EB7B85" w14:paraId="788949AA" w14:textId="77777777">
        <w:trPr>
          <w:trHeight w:val="561"/>
        </w:trPr>
        <w:tc>
          <w:tcPr>
            <w:tcW w:w="0" w:type="auto"/>
            <w:tcBorders>
              <w:top w:val="nil"/>
              <w:left w:val="single" w:sz="4" w:space="0" w:color="auto"/>
              <w:bottom w:val="single" w:sz="4" w:space="0" w:color="auto"/>
              <w:right w:val="single" w:sz="4" w:space="0" w:color="auto"/>
            </w:tcBorders>
            <w:vAlign w:val="center"/>
          </w:tcPr>
          <w:p w14:paraId="2D42A357"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汇聚交换机</w:t>
            </w:r>
          </w:p>
        </w:tc>
        <w:tc>
          <w:tcPr>
            <w:tcW w:w="0" w:type="auto"/>
            <w:tcBorders>
              <w:top w:val="nil"/>
              <w:left w:val="nil"/>
              <w:bottom w:val="single" w:sz="4" w:space="0" w:color="auto"/>
              <w:right w:val="single" w:sz="4" w:space="0" w:color="auto"/>
            </w:tcBorders>
          </w:tcPr>
          <w:p w14:paraId="6C1BA96A"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1.交换容量≥2.56Tbps/23.04Tbps；包转发率≥720Mpps/1260Mpps；</w:t>
            </w:r>
          </w:p>
          <w:p w14:paraId="46C972F0"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2.万兆SFP+</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≥24个；40G QSFP+</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≥2个；Console口≥1个；Manage口≥1个；</w:t>
            </w:r>
          </w:p>
          <w:p w14:paraId="428C302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3.支持双交流电源模块1+1冗余（热插拔）；</w:t>
            </w:r>
          </w:p>
          <w:p w14:paraId="16C3793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4.支持MAC地址≥32K；</w:t>
            </w:r>
          </w:p>
          <w:p w14:paraId="135DED47"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lastRenderedPageBreak/>
              <w:t>5.</w:t>
            </w:r>
            <w:r w:rsidRPr="00EB7B85">
              <w:rPr>
                <w:rFonts w:ascii="仿宋" w:eastAsia="仿宋" w:hAnsi="仿宋" w:cs="仿宋" w:hint="eastAsia"/>
                <w:szCs w:val="21"/>
              </w:rPr>
              <w:t xml:space="preserve"> </w:t>
            </w:r>
            <w:r w:rsidRPr="00EB7B85">
              <w:rPr>
                <w:rFonts w:ascii="仿宋" w:eastAsia="仿宋" w:hAnsi="仿宋" w:cs="仿宋" w:hint="eastAsia"/>
                <w:color w:val="000000"/>
                <w:szCs w:val="21"/>
              </w:rPr>
              <w:t>支持零配置上线：支持二层广播自动发现控制器平台；支持配置静态IP地址三层发现控制器平台；支持DHCP Option43方式发现控制器平台；支持DNS域名发现控制器平台；</w:t>
            </w:r>
          </w:p>
        </w:tc>
        <w:tc>
          <w:tcPr>
            <w:tcW w:w="0" w:type="auto"/>
            <w:tcBorders>
              <w:top w:val="nil"/>
              <w:left w:val="nil"/>
              <w:bottom w:val="single" w:sz="4" w:space="0" w:color="auto"/>
              <w:right w:val="single" w:sz="4" w:space="0" w:color="auto"/>
            </w:tcBorders>
            <w:noWrap/>
            <w:vAlign w:val="center"/>
          </w:tcPr>
          <w:p w14:paraId="0514DDCF"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lastRenderedPageBreak/>
              <w:t>6</w:t>
            </w:r>
          </w:p>
        </w:tc>
        <w:tc>
          <w:tcPr>
            <w:tcW w:w="0" w:type="auto"/>
            <w:tcBorders>
              <w:top w:val="nil"/>
              <w:left w:val="nil"/>
              <w:bottom w:val="single" w:sz="4" w:space="0" w:color="auto"/>
              <w:right w:val="single" w:sz="4" w:space="0" w:color="auto"/>
            </w:tcBorders>
            <w:noWrap/>
            <w:vAlign w:val="center"/>
          </w:tcPr>
          <w:p w14:paraId="4FA6599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46809075" w14:textId="77777777">
        <w:trPr>
          <w:trHeight w:val="561"/>
        </w:trPr>
        <w:tc>
          <w:tcPr>
            <w:tcW w:w="0" w:type="auto"/>
            <w:tcBorders>
              <w:top w:val="nil"/>
              <w:left w:val="single" w:sz="4" w:space="0" w:color="auto"/>
              <w:bottom w:val="single" w:sz="4" w:space="0" w:color="auto"/>
              <w:right w:val="single" w:sz="4" w:space="0" w:color="auto"/>
            </w:tcBorders>
            <w:vAlign w:val="center"/>
          </w:tcPr>
          <w:p w14:paraId="09CA6CD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24口POE交换机</w:t>
            </w:r>
          </w:p>
        </w:tc>
        <w:tc>
          <w:tcPr>
            <w:tcW w:w="0" w:type="auto"/>
            <w:tcBorders>
              <w:top w:val="nil"/>
              <w:left w:val="nil"/>
              <w:bottom w:val="single" w:sz="4" w:space="0" w:color="auto"/>
              <w:right w:val="single" w:sz="4" w:space="0" w:color="auto"/>
            </w:tcBorders>
          </w:tcPr>
          <w:p w14:paraId="4CFB4F1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1.千兆POE</w:t>
            </w:r>
            <w:proofErr w:type="gramStart"/>
            <w:r w:rsidRPr="00EB7B85">
              <w:rPr>
                <w:rFonts w:ascii="仿宋" w:eastAsia="仿宋" w:hAnsi="仿宋" w:cs="仿宋" w:hint="eastAsia"/>
                <w:color w:val="000000"/>
                <w:szCs w:val="21"/>
              </w:rPr>
              <w:t>电口数</w:t>
            </w:r>
            <w:proofErr w:type="gramEnd"/>
            <w:r w:rsidRPr="00EB7B85">
              <w:rPr>
                <w:rFonts w:ascii="仿宋" w:eastAsia="仿宋" w:hAnsi="仿宋" w:cs="仿宋" w:hint="eastAsia"/>
                <w:color w:val="000000"/>
                <w:szCs w:val="21"/>
              </w:rPr>
              <w:t>≥24个，2.5G</w:t>
            </w:r>
            <w:proofErr w:type="gramStart"/>
            <w:r w:rsidRPr="00EB7B85">
              <w:rPr>
                <w:rFonts w:ascii="仿宋" w:eastAsia="仿宋" w:hAnsi="仿宋" w:cs="仿宋" w:hint="eastAsia"/>
                <w:color w:val="000000"/>
                <w:szCs w:val="21"/>
              </w:rPr>
              <w:t>光口</w:t>
            </w:r>
            <w:proofErr w:type="gramEnd"/>
            <w:r w:rsidRPr="00EB7B85">
              <w:rPr>
                <w:rFonts w:ascii="仿宋" w:eastAsia="仿宋" w:hAnsi="仿宋" w:cs="仿宋" w:hint="eastAsia"/>
                <w:color w:val="000000"/>
                <w:szCs w:val="21"/>
              </w:rPr>
              <w:t>≥4个，Console口≥1个；</w:t>
            </w:r>
          </w:p>
          <w:p w14:paraId="150EAD46"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2.交换容量≥672Gbps/6.72Tbps，包转发率≥126Mpps/179Mpps；</w:t>
            </w:r>
          </w:p>
          <w:p w14:paraId="7E8BCBD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3.支持IEEE 802.3af/at供电标准，整机最大输出功率≥370W；</w:t>
            </w:r>
          </w:p>
        </w:tc>
        <w:tc>
          <w:tcPr>
            <w:tcW w:w="0" w:type="auto"/>
            <w:tcBorders>
              <w:top w:val="nil"/>
              <w:left w:val="nil"/>
              <w:bottom w:val="single" w:sz="4" w:space="0" w:color="auto"/>
              <w:right w:val="single" w:sz="4" w:space="0" w:color="auto"/>
            </w:tcBorders>
            <w:noWrap/>
            <w:vAlign w:val="center"/>
          </w:tcPr>
          <w:p w14:paraId="34E175D8"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46</w:t>
            </w:r>
          </w:p>
        </w:tc>
        <w:tc>
          <w:tcPr>
            <w:tcW w:w="0" w:type="auto"/>
            <w:tcBorders>
              <w:top w:val="nil"/>
              <w:left w:val="nil"/>
              <w:bottom w:val="single" w:sz="4" w:space="0" w:color="auto"/>
              <w:right w:val="single" w:sz="4" w:space="0" w:color="auto"/>
            </w:tcBorders>
            <w:noWrap/>
            <w:vAlign w:val="center"/>
          </w:tcPr>
          <w:p w14:paraId="61D02A8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17C4C829" w14:textId="77777777">
        <w:trPr>
          <w:trHeight w:val="561"/>
        </w:trPr>
        <w:tc>
          <w:tcPr>
            <w:tcW w:w="0" w:type="auto"/>
            <w:tcBorders>
              <w:top w:val="nil"/>
              <w:left w:val="single" w:sz="4" w:space="0" w:color="auto"/>
              <w:bottom w:val="single" w:sz="4" w:space="0" w:color="auto"/>
              <w:right w:val="single" w:sz="4" w:space="0" w:color="auto"/>
            </w:tcBorders>
            <w:noWrap/>
            <w:vAlign w:val="center"/>
          </w:tcPr>
          <w:p w14:paraId="713E2B5C"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放装AP</w:t>
            </w:r>
          </w:p>
        </w:tc>
        <w:tc>
          <w:tcPr>
            <w:tcW w:w="0" w:type="auto"/>
            <w:tcBorders>
              <w:top w:val="nil"/>
              <w:left w:val="nil"/>
              <w:bottom w:val="single" w:sz="4" w:space="0" w:color="auto"/>
              <w:right w:val="single" w:sz="4" w:space="0" w:color="auto"/>
            </w:tcBorders>
          </w:tcPr>
          <w:p w14:paraId="31C3CB5C"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1.最高支持802.11ax 协议，兼容802.11a/b/g/n/ac协议；</w:t>
            </w:r>
          </w:p>
          <w:p w14:paraId="5186BF18"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2.整机采用双射频设计，Radio1最大传输速率≥500Mbps，Radio2最大传输速率≥2400Mbps，整机最大传输速率≥2.9Gbps；</w:t>
            </w:r>
          </w:p>
          <w:p w14:paraId="5682256F"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3.千兆以太网口≥1个；</w:t>
            </w:r>
          </w:p>
          <w:p w14:paraId="2BDD4615"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w:t>
            </w:r>
            <w:r w:rsidRPr="00EB7B85">
              <w:rPr>
                <w:rFonts w:ascii="仿宋" w:eastAsia="仿宋" w:hAnsi="仿宋" w:cs="仿宋" w:hint="eastAsia"/>
                <w:szCs w:val="21"/>
              </w:rPr>
              <w:t xml:space="preserve"> </w:t>
            </w:r>
            <w:r w:rsidRPr="00EB7B85">
              <w:rPr>
                <w:rFonts w:ascii="仿宋" w:eastAsia="仿宋" w:hAnsi="仿宋" w:cs="仿宋" w:hint="eastAsia"/>
                <w:color w:val="000000"/>
                <w:szCs w:val="21"/>
              </w:rPr>
              <w:t>无线AP支持联动安全策略，通过安全策略可以实现对疑似感染病毒或已感染病毒的无线客户端进行识别、监控与隔离等多种方式的处理；</w:t>
            </w:r>
          </w:p>
        </w:tc>
        <w:tc>
          <w:tcPr>
            <w:tcW w:w="0" w:type="auto"/>
            <w:tcBorders>
              <w:top w:val="nil"/>
              <w:left w:val="nil"/>
              <w:bottom w:val="single" w:sz="4" w:space="0" w:color="auto"/>
              <w:right w:val="single" w:sz="4" w:space="0" w:color="auto"/>
            </w:tcBorders>
            <w:noWrap/>
            <w:vAlign w:val="center"/>
          </w:tcPr>
          <w:p w14:paraId="206DDBD1"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3</w:t>
            </w:r>
          </w:p>
        </w:tc>
        <w:tc>
          <w:tcPr>
            <w:tcW w:w="0" w:type="auto"/>
            <w:tcBorders>
              <w:top w:val="nil"/>
              <w:left w:val="nil"/>
              <w:bottom w:val="single" w:sz="4" w:space="0" w:color="auto"/>
              <w:right w:val="single" w:sz="4" w:space="0" w:color="auto"/>
            </w:tcBorders>
            <w:noWrap/>
            <w:vAlign w:val="center"/>
          </w:tcPr>
          <w:p w14:paraId="5971C24C"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77EEDB10" w14:textId="77777777">
        <w:trPr>
          <w:trHeight w:val="561"/>
        </w:trPr>
        <w:tc>
          <w:tcPr>
            <w:tcW w:w="0" w:type="auto"/>
            <w:tcBorders>
              <w:top w:val="nil"/>
              <w:left w:val="single" w:sz="4" w:space="0" w:color="auto"/>
              <w:bottom w:val="single" w:sz="4" w:space="0" w:color="auto"/>
              <w:right w:val="single" w:sz="4" w:space="0" w:color="auto"/>
            </w:tcBorders>
            <w:vAlign w:val="center"/>
          </w:tcPr>
          <w:p w14:paraId="26BC1FB8"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面板AP</w:t>
            </w:r>
          </w:p>
        </w:tc>
        <w:tc>
          <w:tcPr>
            <w:tcW w:w="0" w:type="auto"/>
            <w:tcBorders>
              <w:top w:val="nil"/>
              <w:left w:val="nil"/>
              <w:bottom w:val="single" w:sz="4" w:space="0" w:color="auto"/>
              <w:right w:val="single" w:sz="4" w:space="0" w:color="auto"/>
            </w:tcBorders>
          </w:tcPr>
          <w:p w14:paraId="074DB74C"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1.802.11ax 协议，兼容802.11a/b/g/n/ac协议，支持2.4G和5G同时工作；</w:t>
            </w:r>
          </w:p>
          <w:p w14:paraId="1ABB49C4"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2.整机最大传输速率≥2.975Gbps；</w:t>
            </w:r>
          </w:p>
          <w:p w14:paraId="1C5E32B7"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 xml:space="preserve">3.上联千兆以太网口≥1个，下联千兆以太网口≥4个； </w:t>
            </w:r>
          </w:p>
          <w:p w14:paraId="55FB0C0E"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4.安装尺寸符合86盒国家标准；</w:t>
            </w:r>
          </w:p>
          <w:p w14:paraId="4AF7B57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5.支持802.3at标准的PoE供电；</w:t>
            </w:r>
          </w:p>
        </w:tc>
        <w:tc>
          <w:tcPr>
            <w:tcW w:w="0" w:type="auto"/>
            <w:tcBorders>
              <w:top w:val="nil"/>
              <w:left w:val="nil"/>
              <w:bottom w:val="single" w:sz="4" w:space="0" w:color="auto"/>
              <w:right w:val="single" w:sz="4" w:space="0" w:color="auto"/>
            </w:tcBorders>
            <w:noWrap/>
            <w:vAlign w:val="center"/>
          </w:tcPr>
          <w:p w14:paraId="40EAABB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1000</w:t>
            </w:r>
          </w:p>
        </w:tc>
        <w:tc>
          <w:tcPr>
            <w:tcW w:w="0" w:type="auto"/>
            <w:tcBorders>
              <w:top w:val="nil"/>
              <w:left w:val="nil"/>
              <w:bottom w:val="single" w:sz="4" w:space="0" w:color="auto"/>
              <w:right w:val="single" w:sz="4" w:space="0" w:color="auto"/>
            </w:tcBorders>
            <w:noWrap/>
            <w:vAlign w:val="center"/>
          </w:tcPr>
          <w:p w14:paraId="62E8727F"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台</w:t>
            </w:r>
          </w:p>
        </w:tc>
      </w:tr>
      <w:tr w:rsidR="001D60AB" w:rsidRPr="00EB7B85" w14:paraId="56CFE13D" w14:textId="77777777">
        <w:trPr>
          <w:trHeight w:val="561"/>
        </w:trPr>
        <w:tc>
          <w:tcPr>
            <w:tcW w:w="0" w:type="auto"/>
            <w:tcBorders>
              <w:top w:val="single" w:sz="4" w:space="0" w:color="auto"/>
              <w:left w:val="single" w:sz="4" w:space="0" w:color="auto"/>
              <w:bottom w:val="single" w:sz="4" w:space="0" w:color="auto"/>
              <w:right w:val="single" w:sz="4" w:space="0" w:color="auto"/>
            </w:tcBorders>
            <w:vAlign w:val="center"/>
          </w:tcPr>
          <w:p w14:paraId="623DEE6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万兆光模块</w:t>
            </w:r>
          </w:p>
        </w:tc>
        <w:tc>
          <w:tcPr>
            <w:tcW w:w="0" w:type="auto"/>
            <w:tcBorders>
              <w:top w:val="single" w:sz="4" w:space="0" w:color="auto"/>
              <w:left w:val="single" w:sz="4" w:space="0" w:color="auto"/>
              <w:bottom w:val="single" w:sz="4" w:space="0" w:color="auto"/>
              <w:right w:val="single" w:sz="4" w:space="0" w:color="auto"/>
            </w:tcBorders>
            <w:vAlign w:val="center"/>
          </w:tcPr>
          <w:p w14:paraId="25E1D3C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SFP+ 万兆单模光模块，单模，1310nm，最大传输距离 10km，接头类型：LC</w:t>
            </w:r>
          </w:p>
        </w:tc>
        <w:tc>
          <w:tcPr>
            <w:tcW w:w="0" w:type="auto"/>
            <w:tcBorders>
              <w:top w:val="single" w:sz="4" w:space="0" w:color="auto"/>
              <w:left w:val="single" w:sz="4" w:space="0" w:color="auto"/>
              <w:bottom w:val="single" w:sz="4" w:space="0" w:color="auto"/>
              <w:right w:val="single" w:sz="4" w:space="0" w:color="auto"/>
            </w:tcBorders>
            <w:noWrap/>
            <w:vAlign w:val="center"/>
          </w:tcPr>
          <w:p w14:paraId="27D7549E"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116</w:t>
            </w:r>
          </w:p>
        </w:tc>
        <w:tc>
          <w:tcPr>
            <w:tcW w:w="0" w:type="auto"/>
            <w:tcBorders>
              <w:top w:val="single" w:sz="4" w:space="0" w:color="auto"/>
              <w:left w:val="single" w:sz="4" w:space="0" w:color="auto"/>
              <w:bottom w:val="single" w:sz="4" w:space="0" w:color="auto"/>
              <w:right w:val="single" w:sz="4" w:space="0" w:color="auto"/>
            </w:tcBorders>
            <w:noWrap/>
            <w:vAlign w:val="center"/>
          </w:tcPr>
          <w:p w14:paraId="770FD437"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块</w:t>
            </w:r>
          </w:p>
        </w:tc>
      </w:tr>
      <w:tr w:rsidR="001D60AB" w:rsidRPr="00EB7B85" w14:paraId="4B798C4E" w14:textId="77777777">
        <w:trPr>
          <w:trHeight w:val="561"/>
        </w:trPr>
        <w:tc>
          <w:tcPr>
            <w:tcW w:w="0" w:type="auto"/>
            <w:tcBorders>
              <w:top w:val="single" w:sz="4" w:space="0" w:color="auto"/>
              <w:left w:val="single" w:sz="4" w:space="0" w:color="auto"/>
              <w:bottom w:val="single" w:sz="4" w:space="0" w:color="auto"/>
              <w:right w:val="single" w:sz="4" w:space="0" w:color="auto"/>
            </w:tcBorders>
            <w:vAlign w:val="center"/>
          </w:tcPr>
          <w:p w14:paraId="43DA502D"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施工系统集成</w:t>
            </w:r>
          </w:p>
        </w:tc>
        <w:tc>
          <w:tcPr>
            <w:tcW w:w="0" w:type="auto"/>
            <w:tcBorders>
              <w:top w:val="single" w:sz="4" w:space="0" w:color="auto"/>
              <w:left w:val="single" w:sz="4" w:space="0" w:color="auto"/>
              <w:bottom w:val="single" w:sz="4" w:space="0" w:color="auto"/>
              <w:right w:val="single" w:sz="4" w:space="0" w:color="auto"/>
            </w:tcBorders>
            <w:vAlign w:val="center"/>
          </w:tcPr>
          <w:p w14:paraId="4A845F43"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含人工，辅材，线缆等</w:t>
            </w:r>
          </w:p>
        </w:tc>
        <w:tc>
          <w:tcPr>
            <w:tcW w:w="0" w:type="auto"/>
            <w:tcBorders>
              <w:top w:val="single" w:sz="4" w:space="0" w:color="auto"/>
              <w:left w:val="single" w:sz="4" w:space="0" w:color="auto"/>
              <w:bottom w:val="single" w:sz="4" w:space="0" w:color="auto"/>
              <w:right w:val="single" w:sz="4" w:space="0" w:color="auto"/>
            </w:tcBorders>
            <w:noWrap/>
            <w:vAlign w:val="center"/>
          </w:tcPr>
          <w:p w14:paraId="1503AEE5"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996847D"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项</w:t>
            </w:r>
          </w:p>
        </w:tc>
      </w:tr>
      <w:tr w:rsidR="001D60AB" w:rsidRPr="00EB7B85" w14:paraId="13D821F9" w14:textId="77777777">
        <w:trPr>
          <w:trHeight w:val="561"/>
        </w:trPr>
        <w:tc>
          <w:tcPr>
            <w:tcW w:w="0" w:type="auto"/>
            <w:tcBorders>
              <w:top w:val="single" w:sz="4" w:space="0" w:color="auto"/>
              <w:left w:val="single" w:sz="4" w:space="0" w:color="auto"/>
              <w:bottom w:val="single" w:sz="4" w:space="0" w:color="auto"/>
              <w:right w:val="single" w:sz="4" w:space="0" w:color="auto"/>
            </w:tcBorders>
            <w:vAlign w:val="center"/>
          </w:tcPr>
          <w:p w14:paraId="5CA49940"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电子指挥系统</w:t>
            </w:r>
          </w:p>
        </w:tc>
        <w:tc>
          <w:tcPr>
            <w:tcW w:w="0" w:type="auto"/>
            <w:tcBorders>
              <w:top w:val="single" w:sz="4" w:space="0" w:color="auto"/>
              <w:left w:val="single" w:sz="4" w:space="0" w:color="auto"/>
              <w:bottom w:val="single" w:sz="4" w:space="0" w:color="auto"/>
              <w:right w:val="single" w:sz="4" w:space="0" w:color="auto"/>
            </w:tcBorders>
            <w:vAlign w:val="center"/>
          </w:tcPr>
          <w:p w14:paraId="01A39C0C" w14:textId="77777777" w:rsidR="001D60AB" w:rsidRPr="00EB7B85" w:rsidRDefault="00000000">
            <w:pPr>
              <w:widowControl/>
              <w:jc w:val="left"/>
              <w:rPr>
                <w:rFonts w:ascii="仿宋" w:eastAsia="仿宋" w:hAnsi="仿宋" w:cs="仿宋" w:hint="eastAsia"/>
                <w:color w:val="000000"/>
                <w:szCs w:val="21"/>
              </w:rPr>
            </w:pPr>
            <w:r w:rsidRPr="00EB7B85">
              <w:rPr>
                <w:rFonts w:ascii="仿宋" w:eastAsia="仿宋" w:hAnsi="仿宋" w:cs="仿宋" w:hint="eastAsia"/>
                <w:color w:val="000000"/>
                <w:szCs w:val="21"/>
              </w:rPr>
              <w:t>大屏，空调、装修、拆卸等</w:t>
            </w:r>
          </w:p>
        </w:tc>
        <w:tc>
          <w:tcPr>
            <w:tcW w:w="0" w:type="auto"/>
            <w:tcBorders>
              <w:top w:val="single" w:sz="4" w:space="0" w:color="auto"/>
              <w:left w:val="single" w:sz="4" w:space="0" w:color="auto"/>
              <w:bottom w:val="single" w:sz="4" w:space="0" w:color="auto"/>
              <w:right w:val="single" w:sz="4" w:space="0" w:color="auto"/>
            </w:tcBorders>
            <w:noWrap/>
            <w:vAlign w:val="center"/>
          </w:tcPr>
          <w:p w14:paraId="5B4A749B"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741F8240" w14:textId="77777777" w:rsidR="001D60AB" w:rsidRPr="00EB7B85" w:rsidRDefault="00000000">
            <w:pPr>
              <w:widowControl/>
              <w:jc w:val="center"/>
              <w:rPr>
                <w:rFonts w:ascii="仿宋" w:eastAsia="仿宋" w:hAnsi="仿宋" w:cs="仿宋" w:hint="eastAsia"/>
                <w:color w:val="000000"/>
                <w:szCs w:val="21"/>
              </w:rPr>
            </w:pPr>
            <w:r w:rsidRPr="00EB7B85">
              <w:rPr>
                <w:rFonts w:ascii="仿宋" w:eastAsia="仿宋" w:hAnsi="仿宋" w:cs="仿宋" w:hint="eastAsia"/>
                <w:color w:val="000000"/>
                <w:szCs w:val="21"/>
              </w:rPr>
              <w:t>项</w:t>
            </w:r>
          </w:p>
        </w:tc>
      </w:tr>
    </w:tbl>
    <w:p w14:paraId="0102B26B" w14:textId="1E85498D" w:rsidR="001D60AB" w:rsidRPr="00EB7B85" w:rsidRDefault="00000000">
      <w:pPr>
        <w:spacing w:before="120" w:after="120" w:line="288" w:lineRule="auto"/>
        <w:jc w:val="left"/>
        <w:rPr>
          <w:rFonts w:ascii="仿宋" w:eastAsia="仿宋" w:hAnsi="仿宋" w:cs="仿宋" w:hint="eastAsia"/>
          <w:sz w:val="24"/>
          <w:szCs w:val="24"/>
          <w:highlight w:val="red"/>
        </w:rPr>
      </w:pPr>
      <w:r w:rsidRPr="00EB7B85">
        <w:rPr>
          <w:rFonts w:ascii="仿宋" w:eastAsia="仿宋" w:hAnsi="仿宋" w:cs="仿宋" w:hint="eastAsia"/>
          <w:sz w:val="24"/>
          <w:szCs w:val="24"/>
        </w:rPr>
        <w:t>注：原则上要求国内的一、二线品牌，且满足参数和使用要求。</w:t>
      </w:r>
    </w:p>
    <w:sectPr w:rsidR="001D60AB" w:rsidRPr="00EB7B85">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0F73" w14:textId="77777777" w:rsidR="00D35B78" w:rsidRDefault="00D35B78">
      <w:r>
        <w:separator/>
      </w:r>
    </w:p>
  </w:endnote>
  <w:endnote w:type="continuationSeparator" w:id="0">
    <w:p w14:paraId="5C15A808" w14:textId="77777777" w:rsidR="00D35B78" w:rsidRDefault="00D3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F382" w14:textId="77777777" w:rsidR="00D35B78" w:rsidRDefault="00D35B78">
      <w:r>
        <w:separator/>
      </w:r>
    </w:p>
  </w:footnote>
  <w:footnote w:type="continuationSeparator" w:id="0">
    <w:p w14:paraId="3D768B75" w14:textId="77777777" w:rsidR="00D35B78" w:rsidRDefault="00D35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0AB"/>
    <w:rsid w:val="00070035"/>
    <w:rsid w:val="001528DB"/>
    <w:rsid w:val="001D60AB"/>
    <w:rsid w:val="002E0A7D"/>
    <w:rsid w:val="00365DCC"/>
    <w:rsid w:val="003D5C4E"/>
    <w:rsid w:val="004E49A2"/>
    <w:rsid w:val="006C2021"/>
    <w:rsid w:val="0087659B"/>
    <w:rsid w:val="009216D8"/>
    <w:rsid w:val="00B45C49"/>
    <w:rsid w:val="00B86787"/>
    <w:rsid w:val="00BE2E10"/>
    <w:rsid w:val="00BF2A4E"/>
    <w:rsid w:val="00C621A8"/>
    <w:rsid w:val="00C96DCB"/>
    <w:rsid w:val="00D35B78"/>
    <w:rsid w:val="00E60EF9"/>
    <w:rsid w:val="00EB7B85"/>
    <w:rsid w:val="00EC00A0"/>
    <w:rsid w:val="00FC1E24"/>
    <w:rsid w:val="019A21BF"/>
    <w:rsid w:val="02EB239A"/>
    <w:rsid w:val="0361265C"/>
    <w:rsid w:val="037D56E7"/>
    <w:rsid w:val="038C592B"/>
    <w:rsid w:val="03A5079A"/>
    <w:rsid w:val="05A012C8"/>
    <w:rsid w:val="05C07B0D"/>
    <w:rsid w:val="094C3466"/>
    <w:rsid w:val="099C619C"/>
    <w:rsid w:val="0B9F6417"/>
    <w:rsid w:val="0BFE313E"/>
    <w:rsid w:val="0C637445"/>
    <w:rsid w:val="0C8A677F"/>
    <w:rsid w:val="0D701E19"/>
    <w:rsid w:val="0D7E5D3F"/>
    <w:rsid w:val="0E1327A4"/>
    <w:rsid w:val="0E214EC1"/>
    <w:rsid w:val="0EDB7766"/>
    <w:rsid w:val="0EFA4090"/>
    <w:rsid w:val="0F5D356B"/>
    <w:rsid w:val="101A2510"/>
    <w:rsid w:val="108005C5"/>
    <w:rsid w:val="10944070"/>
    <w:rsid w:val="10A02655"/>
    <w:rsid w:val="10D821AF"/>
    <w:rsid w:val="10E30B54"/>
    <w:rsid w:val="12490E8B"/>
    <w:rsid w:val="12D55258"/>
    <w:rsid w:val="134711E6"/>
    <w:rsid w:val="134A310C"/>
    <w:rsid w:val="138E2FF9"/>
    <w:rsid w:val="14956609"/>
    <w:rsid w:val="154222ED"/>
    <w:rsid w:val="15B11221"/>
    <w:rsid w:val="15E909BB"/>
    <w:rsid w:val="168406E3"/>
    <w:rsid w:val="16C17241"/>
    <w:rsid w:val="16FE2244"/>
    <w:rsid w:val="17A774EC"/>
    <w:rsid w:val="17E256C1"/>
    <w:rsid w:val="18F27B86"/>
    <w:rsid w:val="19241D0A"/>
    <w:rsid w:val="195E692B"/>
    <w:rsid w:val="1ACD6BC9"/>
    <w:rsid w:val="1B0F45C7"/>
    <w:rsid w:val="1BDD4B1E"/>
    <w:rsid w:val="1CBF3EE4"/>
    <w:rsid w:val="1CDA7AC0"/>
    <w:rsid w:val="1D9B3115"/>
    <w:rsid w:val="1DA63635"/>
    <w:rsid w:val="1E1B36DB"/>
    <w:rsid w:val="1FA03EF2"/>
    <w:rsid w:val="20D93CF8"/>
    <w:rsid w:val="20FF1092"/>
    <w:rsid w:val="212F62D4"/>
    <w:rsid w:val="21B32845"/>
    <w:rsid w:val="228850B7"/>
    <w:rsid w:val="22AC524A"/>
    <w:rsid w:val="23770DEF"/>
    <w:rsid w:val="27684CB5"/>
    <w:rsid w:val="2769195B"/>
    <w:rsid w:val="27BD3A55"/>
    <w:rsid w:val="295178A8"/>
    <w:rsid w:val="29685D5B"/>
    <w:rsid w:val="296B4E82"/>
    <w:rsid w:val="29910CF5"/>
    <w:rsid w:val="2AC1385C"/>
    <w:rsid w:val="2BEC4927"/>
    <w:rsid w:val="2C1C4194"/>
    <w:rsid w:val="2C532DA0"/>
    <w:rsid w:val="2C536736"/>
    <w:rsid w:val="2CA156F3"/>
    <w:rsid w:val="2D595FCE"/>
    <w:rsid w:val="2D6A026D"/>
    <w:rsid w:val="2DDD09AD"/>
    <w:rsid w:val="2EA4771D"/>
    <w:rsid w:val="2F94153F"/>
    <w:rsid w:val="31280F0C"/>
    <w:rsid w:val="318D4498"/>
    <w:rsid w:val="31FE0694"/>
    <w:rsid w:val="324059AE"/>
    <w:rsid w:val="324E1E79"/>
    <w:rsid w:val="325D5A1D"/>
    <w:rsid w:val="32D0288E"/>
    <w:rsid w:val="33116F21"/>
    <w:rsid w:val="335069BC"/>
    <w:rsid w:val="33572FB0"/>
    <w:rsid w:val="33FC7260"/>
    <w:rsid w:val="356A42EB"/>
    <w:rsid w:val="356E45E1"/>
    <w:rsid w:val="369E2CA4"/>
    <w:rsid w:val="36A91D74"/>
    <w:rsid w:val="379D3D01"/>
    <w:rsid w:val="37F81C64"/>
    <w:rsid w:val="37FF4CEF"/>
    <w:rsid w:val="389B2F49"/>
    <w:rsid w:val="38F73D85"/>
    <w:rsid w:val="3A3C334E"/>
    <w:rsid w:val="3B986972"/>
    <w:rsid w:val="3BBC60A6"/>
    <w:rsid w:val="3BEB0A5B"/>
    <w:rsid w:val="3BF73513"/>
    <w:rsid w:val="3CDC62D4"/>
    <w:rsid w:val="3E4D55A7"/>
    <w:rsid w:val="3E8F04BB"/>
    <w:rsid w:val="3EF43DA9"/>
    <w:rsid w:val="3F5B5BD6"/>
    <w:rsid w:val="413E130B"/>
    <w:rsid w:val="41BA6A61"/>
    <w:rsid w:val="41D576C5"/>
    <w:rsid w:val="44234B2B"/>
    <w:rsid w:val="4439400C"/>
    <w:rsid w:val="45177768"/>
    <w:rsid w:val="45372C41"/>
    <w:rsid w:val="45631DE6"/>
    <w:rsid w:val="45B5636D"/>
    <w:rsid w:val="45B93656"/>
    <w:rsid w:val="462415EC"/>
    <w:rsid w:val="46323738"/>
    <w:rsid w:val="469A6FE4"/>
    <w:rsid w:val="470B601B"/>
    <w:rsid w:val="47B45B8C"/>
    <w:rsid w:val="47C502CB"/>
    <w:rsid w:val="47CD5197"/>
    <w:rsid w:val="47E51E85"/>
    <w:rsid w:val="487873A2"/>
    <w:rsid w:val="49A81A17"/>
    <w:rsid w:val="49C03205"/>
    <w:rsid w:val="49F7299F"/>
    <w:rsid w:val="4A2F0F91"/>
    <w:rsid w:val="4AE940F0"/>
    <w:rsid w:val="4B5D2CD5"/>
    <w:rsid w:val="4C8F5111"/>
    <w:rsid w:val="4D023B34"/>
    <w:rsid w:val="4D0D3E30"/>
    <w:rsid w:val="4DC31516"/>
    <w:rsid w:val="4DE35714"/>
    <w:rsid w:val="4E8C7B5A"/>
    <w:rsid w:val="4F691C49"/>
    <w:rsid w:val="4F7505EE"/>
    <w:rsid w:val="4FDC1315"/>
    <w:rsid w:val="4FE60326"/>
    <w:rsid w:val="50164C0D"/>
    <w:rsid w:val="50267B3A"/>
    <w:rsid w:val="5032028D"/>
    <w:rsid w:val="516C3C72"/>
    <w:rsid w:val="52021EE1"/>
    <w:rsid w:val="530E3233"/>
    <w:rsid w:val="53E0692D"/>
    <w:rsid w:val="53FC14D3"/>
    <w:rsid w:val="54563338"/>
    <w:rsid w:val="5568597E"/>
    <w:rsid w:val="55766E6E"/>
    <w:rsid w:val="55B76FF5"/>
    <w:rsid w:val="57415259"/>
    <w:rsid w:val="576119DE"/>
    <w:rsid w:val="57B958F8"/>
    <w:rsid w:val="5800035F"/>
    <w:rsid w:val="5813309A"/>
    <w:rsid w:val="58AC110F"/>
    <w:rsid w:val="58E66F3C"/>
    <w:rsid w:val="58EB7B73"/>
    <w:rsid w:val="590F3861"/>
    <w:rsid w:val="593E7CA2"/>
    <w:rsid w:val="59401C6C"/>
    <w:rsid w:val="5A7B6CD4"/>
    <w:rsid w:val="5B4F263B"/>
    <w:rsid w:val="5BDD0946"/>
    <w:rsid w:val="5C052CF9"/>
    <w:rsid w:val="5C317F92"/>
    <w:rsid w:val="5C8A31FF"/>
    <w:rsid w:val="5D3970FE"/>
    <w:rsid w:val="5D4F1722"/>
    <w:rsid w:val="5E304A26"/>
    <w:rsid w:val="5F107098"/>
    <w:rsid w:val="5F737FD9"/>
    <w:rsid w:val="5FAB005C"/>
    <w:rsid w:val="5FD01870"/>
    <w:rsid w:val="601D05BB"/>
    <w:rsid w:val="607B251F"/>
    <w:rsid w:val="6198016C"/>
    <w:rsid w:val="621B5E82"/>
    <w:rsid w:val="635C405A"/>
    <w:rsid w:val="63DB11AB"/>
    <w:rsid w:val="647E30EE"/>
    <w:rsid w:val="64B82FFF"/>
    <w:rsid w:val="67283D40"/>
    <w:rsid w:val="6751773B"/>
    <w:rsid w:val="67582877"/>
    <w:rsid w:val="6817003C"/>
    <w:rsid w:val="689B7319"/>
    <w:rsid w:val="68D9087C"/>
    <w:rsid w:val="6B146ABA"/>
    <w:rsid w:val="6BA65339"/>
    <w:rsid w:val="6BF70A5C"/>
    <w:rsid w:val="6D964D9A"/>
    <w:rsid w:val="6EDC3D8E"/>
    <w:rsid w:val="6EEB3FD1"/>
    <w:rsid w:val="70B00070"/>
    <w:rsid w:val="71172F17"/>
    <w:rsid w:val="72102C30"/>
    <w:rsid w:val="727662A7"/>
    <w:rsid w:val="729056F7"/>
    <w:rsid w:val="739E0338"/>
    <w:rsid w:val="73F12089"/>
    <w:rsid w:val="740873D3"/>
    <w:rsid w:val="747D4E51"/>
    <w:rsid w:val="74B17A6A"/>
    <w:rsid w:val="76C30EE4"/>
    <w:rsid w:val="771C4DF6"/>
    <w:rsid w:val="773A1DCB"/>
    <w:rsid w:val="775F37AE"/>
    <w:rsid w:val="77B86FCD"/>
    <w:rsid w:val="784D1D22"/>
    <w:rsid w:val="79BC0A44"/>
    <w:rsid w:val="7ACA3634"/>
    <w:rsid w:val="7ADB139D"/>
    <w:rsid w:val="7C1D7794"/>
    <w:rsid w:val="7C6D03AB"/>
    <w:rsid w:val="7C815F74"/>
    <w:rsid w:val="7D474AC8"/>
    <w:rsid w:val="7D9E02CB"/>
    <w:rsid w:val="7DD82F61"/>
    <w:rsid w:val="7DFC1BF7"/>
    <w:rsid w:val="7E152E18"/>
    <w:rsid w:val="7EF667A6"/>
    <w:rsid w:val="7F363046"/>
    <w:rsid w:val="7FA426A6"/>
    <w:rsid w:val="7FD14B1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80D23"/>
  <w15:docId w15:val="{4371FCEF-468C-45FB-A1F2-FA9B51EC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sz w:val="24"/>
    </w:rPr>
  </w:style>
  <w:style w:type="character" w:styleId="a4">
    <w:name w:val="Strong"/>
    <w:basedOn w:val="a0"/>
    <w:qFormat/>
    <w:rPr>
      <w:b/>
    </w:rPr>
  </w:style>
  <w:style w:type="paragraph" w:styleId="a5">
    <w:name w:val="header"/>
    <w:basedOn w:val="a"/>
    <w:link w:val="a6"/>
    <w:rsid w:val="00B45C49"/>
    <w:pPr>
      <w:tabs>
        <w:tab w:val="center" w:pos="4153"/>
        <w:tab w:val="right" w:pos="8306"/>
      </w:tabs>
      <w:snapToGrid w:val="0"/>
      <w:jc w:val="center"/>
    </w:pPr>
    <w:rPr>
      <w:sz w:val="18"/>
      <w:szCs w:val="18"/>
    </w:rPr>
  </w:style>
  <w:style w:type="character" w:customStyle="1" w:styleId="a6">
    <w:name w:val="页眉 字符"/>
    <w:basedOn w:val="a0"/>
    <w:link w:val="a5"/>
    <w:rsid w:val="00B45C49"/>
    <w:rPr>
      <w:rFonts w:asciiTheme="minorHAnsi" w:eastAsiaTheme="minorEastAsia" w:hAnsiTheme="minorHAnsi" w:cstheme="minorBidi"/>
      <w:sz w:val="18"/>
      <w:szCs w:val="18"/>
    </w:rPr>
  </w:style>
  <w:style w:type="paragraph" w:styleId="a7">
    <w:name w:val="footer"/>
    <w:basedOn w:val="a"/>
    <w:link w:val="a8"/>
    <w:rsid w:val="00B45C49"/>
    <w:pPr>
      <w:tabs>
        <w:tab w:val="center" w:pos="4153"/>
        <w:tab w:val="right" w:pos="8306"/>
      </w:tabs>
      <w:snapToGrid w:val="0"/>
      <w:jc w:val="left"/>
    </w:pPr>
    <w:rPr>
      <w:sz w:val="18"/>
      <w:szCs w:val="18"/>
    </w:rPr>
  </w:style>
  <w:style w:type="character" w:customStyle="1" w:styleId="a8">
    <w:name w:val="页脚 字符"/>
    <w:basedOn w:val="a0"/>
    <w:link w:val="a7"/>
    <w:rsid w:val="00B45C49"/>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1773</Words>
  <Characters>2378</Characters>
  <Application>Microsoft Office Word</Application>
  <DocSecurity>0</DocSecurity>
  <Lines>169</Lines>
  <Paragraphs>166</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友全 张</cp:lastModifiedBy>
  <cp:revision>9</cp:revision>
  <dcterms:created xsi:type="dcterms:W3CDTF">2026-06-08T07:46:00Z</dcterms:created>
  <dcterms:modified xsi:type="dcterms:W3CDTF">2026-06-09T12:22:00Z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{"Label":"1","ContentProducer":"001191110102MACQD9K64010000","ProduceID":"7648927765030669287","ReservedCode1":"","ContentPropagator":"","PropagateID":"","ReservedCode2":""}</vt:lpwstr>
  </property>
  <property fmtid="{D5CDD505-2E9C-101B-9397-08002B2CF9AE}" pid="3" name="KSOTemplateDocerSaveRecord">
    <vt:lpwstr>eyJoZGlkIjoiNTU3ZDk5ZjA0MzgwNmVmYTkwZWRlODg1ZGNhNjdhZTEifQ==</vt:lpwstr>
  </property>
  <property fmtid="{D5CDD505-2E9C-101B-9397-08002B2CF9AE}" pid="4" name="KSOProductBuildVer">
    <vt:lpwstr>2052-12.1.0.22089</vt:lpwstr>
  </property>
  <property fmtid="{D5CDD505-2E9C-101B-9397-08002B2CF9AE}" pid="5" name="ICV">
    <vt:lpwstr>5FAC2B96E55F4E0EB0FFE1E9B888190B_13</vt:lpwstr>
  </property>
</Properties>
</file>