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D75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工业机器人综合应用实训系统建设要求及技术参数</w:t>
      </w:r>
    </w:p>
    <w:p w14:paraId="5B54B000">
      <w:pPr>
        <w:numPr>
          <w:ilvl w:val="0"/>
          <w:numId w:val="0"/>
        </w:numP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一、场地要求</w:t>
      </w:r>
    </w:p>
    <w:p w14:paraId="051B9AB1">
      <w:pPr>
        <w:numPr>
          <w:ilvl w:val="0"/>
          <w:numId w:val="0"/>
        </w:numPr>
        <w:ind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放置环境阴凉干燥，实验室面积100平方米左右。</w:t>
      </w:r>
    </w:p>
    <w:p w14:paraId="5B95639B">
      <w:pP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、产品总体要求</w:t>
      </w:r>
    </w:p>
    <w:p w14:paraId="12BCF2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1.输入电源：单相三线～220V±10% 50Hz</w:t>
      </w:r>
    </w:p>
    <w:p w14:paraId="1FC862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2.装置容量：≤2.0kVA</w:t>
      </w:r>
    </w:p>
    <w:p w14:paraId="4C675D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3.设备尺寸：长×宽×高=1500mm×1200mm×1000mm</w:t>
      </w:r>
    </w:p>
    <w:p w14:paraId="33A38D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4.安全保护：具有急停开关、漏电保护、短路保护、过载保护装置，安全符合国家标准</w:t>
      </w:r>
    </w:p>
    <w:p w14:paraId="460AF8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5.互联网+在线服务平台要求：基于第三方开发，平台集专业建设、技术即时交流、课程设计、问题搜索、问题发帖、售后服务、24小时智能机器人等功能于一身，支持PC、Android、IOS、HarmonyOS多平台互动。</w:t>
      </w:r>
    </w:p>
    <w:p w14:paraId="2DE8B1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1）平台有教授、博士、行业高级技师、在校教师、企业高级工程师、一线技术员等长期驻扎，能够全方位服务不同人群。</w:t>
      </w:r>
    </w:p>
    <w:p w14:paraId="52FA07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2）平台可设置日程、投票、知识充电站、重要通知等功能，通知支持礼物、拍摄、文件等内容。</w:t>
      </w:r>
    </w:p>
    <w:p w14:paraId="26825A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3）平台提供专业建设板块、课程设计板块、教学资源板块、师资培训板块、技术交流板块、技能竞赛板块、售后服务板块等。</w:t>
      </w:r>
    </w:p>
    <w:p w14:paraId="7806BF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4）每个板块均可进行即时语音交流、专题直播在线讨论，可设置频次，平台可搜索历史提问查找答案，问题内容支持文档排版、表情包、图片、视屏、超链接等功能。</w:t>
      </w:r>
    </w:p>
    <w:p w14:paraId="32D273BC">
      <w:pP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、主要配置及功能要求</w:t>
      </w:r>
    </w:p>
    <w:p w14:paraId="30CA6D4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1.工业机器人要求</w:t>
      </w:r>
    </w:p>
    <w:p w14:paraId="0A4DE2AD">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（1）有效负载：≥3kg，重复定位精度±0.01mm，活动范围≥600mm，轴1：±170°,轴2：+40－-195°,轴3：+150－-115°,轴4：±185°,轴5：±120°,轴6：±350°</w:t>
      </w:r>
    </w:p>
    <w:p w14:paraId="3879CBE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（2）控制器要求：供电电压AC230V，50-60Hz，控制器尺寸392mm*300mm*134mm,重9.8Kg</w:t>
      </w:r>
      <w:r>
        <w:rPr>
          <w:rFonts w:hint="eastAsia" w:ascii="宋体" w:hAnsi="宋体" w:eastAsia="宋体" w:cs="宋体"/>
          <w:kern w:val="0"/>
          <w:sz w:val="24"/>
          <w:szCs w:val="24"/>
        </w:rPr>
        <w:tab/>
      </w:r>
      <w:r>
        <w:rPr>
          <w:rFonts w:hint="eastAsia" w:ascii="宋体" w:hAnsi="宋体" w:eastAsia="宋体" w:cs="宋体"/>
          <w:kern w:val="0"/>
          <w:sz w:val="24"/>
          <w:szCs w:val="24"/>
        </w:rPr>
        <w:t>，工作环境温度+5-45℃，防护等级IP20，多核处理器，60GB SSD硬盘，集成USB3.0、16路数字量输入/16路数字量输出,支持EtherCAT (KUKA Extension Bus)、PROFINET+PROFlsafe、EthernetlP +CIP Safety、EtherCAT slave + FSoE (via external gateway)。同时能够大大减少硬件组件、电缆及插头的数量，并通过基于软件的各种解决方案进行替代。高效、稳定的控制系统采用免维护设计，温度调节式风扇技术可根据需要短时开动且噪音低。</w:t>
      </w:r>
    </w:p>
    <w:p w14:paraId="55A45AD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（3）示教器要求：8.4寸彩色示教器，电容式触摸屏，重量1.1Kg，292mm*247mm*63mm，包含6D鼠标1个，急停按钮1个，实体按钮25个，三段双回路使能按钮2个，USB3.0接口2个，示教器支持热插拔。</w:t>
      </w:r>
    </w:p>
    <w:p w14:paraId="062EFECD">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（4）机器人底座：材料优质铝板采用喷砂氧化工艺，尺寸250mm×250mm×15mm。</w:t>
      </w:r>
    </w:p>
    <w:p w14:paraId="1190C52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2.快换工具要求</w:t>
      </w:r>
    </w:p>
    <w:p w14:paraId="6E87387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（1）工具快换系统：机器人末端能自动切换，气路</w:t>
      </w:r>
      <w:r>
        <w:rPr>
          <w:rFonts w:hint="eastAsia" w:ascii="宋体" w:hAnsi="宋体" w:eastAsia="宋体" w:cs="宋体"/>
          <w:kern w:val="0"/>
          <w:sz w:val="24"/>
          <w:szCs w:val="24"/>
          <w:lang w:val="en-US" w:eastAsia="zh-CN"/>
        </w:rPr>
        <w:t>信号</w:t>
      </w: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路</w:t>
      </w:r>
      <w:r>
        <w:rPr>
          <w:rFonts w:hint="eastAsia" w:ascii="宋体" w:hAnsi="宋体" w:eastAsia="宋体" w:cs="宋体"/>
          <w:kern w:val="0"/>
          <w:sz w:val="24"/>
          <w:szCs w:val="24"/>
        </w:rPr>
        <w:t>，电路</w:t>
      </w:r>
      <w:r>
        <w:rPr>
          <w:rFonts w:hint="eastAsia" w:ascii="宋体" w:hAnsi="宋体" w:eastAsia="宋体" w:cs="宋体"/>
          <w:kern w:val="0"/>
          <w:sz w:val="24"/>
          <w:szCs w:val="24"/>
          <w:lang w:val="en-US" w:eastAsia="zh-CN"/>
        </w:rPr>
        <w:t>信号</w:t>
      </w: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路</w:t>
      </w:r>
      <w:r>
        <w:rPr>
          <w:rFonts w:hint="eastAsia" w:ascii="宋体" w:hAnsi="宋体" w:eastAsia="宋体" w:cs="宋体"/>
          <w:kern w:val="0"/>
          <w:sz w:val="24"/>
          <w:szCs w:val="24"/>
        </w:rPr>
        <w:t>，负载≥3kg，重量≤25g。</w:t>
      </w:r>
    </w:p>
    <w:p w14:paraId="00B93EC8">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（2）夹爪工具：铝合金材质，气缸内径≥10mm，重复精度≤±0.1mm，闭合夹持力≥14N。</w:t>
      </w:r>
      <w:bookmarkStart w:id="0" w:name="_GoBack"/>
      <w:bookmarkEnd w:id="0"/>
    </w:p>
    <w:p w14:paraId="0957B84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（3）吸盘工具：铝合金材质，12mm直径吸盘≥2个，真空发生器≥2个，真空≥-85kPa。</w:t>
      </w:r>
    </w:p>
    <w:p w14:paraId="7B7348E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（4）画笔工具：POM材质，防撞窜动≥11mm，画笔直径≤7.5mm。</w:t>
      </w:r>
    </w:p>
    <w:p w14:paraId="4707EC3B">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（5）焊枪工具：点状激光头≥1个，寿命≥10万小时。</w:t>
      </w:r>
    </w:p>
    <w:p w14:paraId="7EB7E56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基础轨迹模块要求：轨迹模块采用镀铬工艺，尺寸≤297*210mm，轨迹路径包含圆形、三角形、五角形、复杂轮廓和样条曲线，以及不同位置、不同指向的基准坐标系，轨迹模型设有辅助点位去，且轨迹样式可快速更换。提供工具TCP参数标定用铝质尖锥，底部带有强力磁铁，可以随意固定在3D轨迹图板的任何位置，可实现连续多角度旋转且有刻度指示。轨迹模块场景具有自动考评，软件具有数据实时采集与分析、自动评分功能。先由教师在软件上出题，自动生成评分规则，学员在考核过程中，软件实时记录学员的操作过程、执行结果、异常事件，并根据考试评分规则计算最终成绩，减轻教师批改工作量，提升教学质量。</w:t>
      </w:r>
    </w:p>
    <w:p w14:paraId="03F46D6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搬运/编码/装配模块要求：搬运/编码/装配模块采用铝质氧化工艺，尺寸≤400*150mm，搬运编码模块设有快速定位装置和吸附机构可与其他扩展模块快速相互更换，可实现连续多角度旋转且有刻度指示；主要由模块底座、编码平台、搬运样件、焊接样件、编码板材等组成，编码平台依样件形状加工凹槽定位，可固定摆放样件，搬运样件包含三角形、圆形、正方形、长方形四种，每种样件有四种颜色；焊接样件设有典型直线和圆弧两种焊件；还设有一个装配平台，可供模拟装配和码垛工艺编程使用。搬运/编码/装配模块场景支持自动化拖动示教，支持拖动自动化法兰末端或工具末端进行平移操作与旋转操作获取空间点位，空间点位可打开或关闭显示，并可移动点位。虚拟示教器编程，内置自动化虚拟示教器，功能、界面与真实的示教器一致。虚拟示教器程序驱动自动化运动与IO操作，完成自动化编程、运动仿真、自动化工艺训练等功能。</w:t>
      </w:r>
    </w:p>
    <w:p w14:paraId="62CE3EE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绘画模块要求:绘图模块平台由绘图平板、强力磁铁、平板旋转机构等组成，可实现连续多角度旋转且有刻度指示，可有效练习工件坐标的使用，增强练习者对工件坐标的理解。采用C#语言基于Emgucv算法平台二次开趣味性绘画实训软件，软件可进行实时绘画、图像二值化、灰度值处理等，能够与绘画模块完美兼容。</w:t>
      </w:r>
    </w:p>
    <w:p w14:paraId="49A96AA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上料模块要求：采用井式上料机构，底部设有物料检测传感器，可满足最多8个物料的存储。模拟物料材质POM，尺寸≥45mm×45mm×20mm。转接装置采用PC+ABS阻燃材料通道≥4,防护等级≥IP65，尺寸≤86mm×30mm，工作温度-40℃至80℃。电源和每个通道均有LED指示灯显示和标贴，供电电流最大2A。上料模块场景支持仿真场景的虚拟设备通过多种通讯协议与外部控制器进行数据交换，支持Modbus-RTU、Modbus-TCP、OPC UA、S7等总线通讯协议。</w:t>
      </w:r>
    </w:p>
    <w:p w14:paraId="1687DBFD">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变频传输模块要求：主要包含交流减速电机、皮带、光电编码器、出入口光电传感器等组成，变频器要求支持RS485通讯，转接装置采用PC+ABS阻燃材料通道≥4路,防护等级≥IP65，尺寸≤86mm×30mm，工作温度-40℃至80℃。电源和每个通道均有LED指示灯显示和标贴，供电电流最大2A。变频传输模块场景支持电气系统集成，用于电气信号连接图设计，仿真场景的电气主控器件与被控制器件都有一个对应的电气符号，电气符号用图形表示，有名称与内部端口号。用画线方式连接不同端口，不同类型端口用不同颜色线条表示，完成电气信号连接图后可导出Excel格式的IO表。</w:t>
      </w:r>
    </w:p>
    <w:p w14:paraId="2DEA5F2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立体仓储模块要求:由铝合金型材与钣金板材加工而成，有2层3列共6个仓位，由铝合金支架、仓位平板、检测传感器组成,光电传感器供电电压DC12-24v，安装孔尺寸≤26mm，长度≤36mm，宽度≤22mm，厚度≤12mm，检测最大距离300mm，检测距离可调，立体仓储模块场景支持VR功能，通过VR眼镜（常规不配）可实现沉浸式虚拟现实3D体验，包含逼真工业现场3D音效仿真，使体验者身临其境。通过手柄可与场景进行互动操作。</w:t>
      </w:r>
    </w:p>
    <w:p w14:paraId="603FBB8B">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9.工业自动化电气设计软件：</w:t>
      </w:r>
    </w:p>
    <w:p w14:paraId="080AAB80">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（1）本软件基于机电一体化、电气自动化、机械设计等学科专业设计开发，支持多品牌PLC（如西门子、三菱等）协助机器人、工业机器人（ABB、KUKA、FANUC等），可进行1：1同步运行。</w:t>
      </w:r>
    </w:p>
    <w:p w14:paraId="1C62057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（2）内置物理引擎，能模拟现实生活中的运动、旋转和弹性碰撞等物理现象，三维模型可定义物理属性如：支持材质密度、最大张力、杨氏模量、重心等参数。</w:t>
      </w:r>
    </w:p>
    <w:p w14:paraId="7778C0BB">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（3）集成CAD/CAM/CAE功能，可进行基础、曲面、同步等多种建模；支持Solidworks、ProE、NX、中望3D等3D CAD软件创建的模型，至少有DXF、DWG、NODEL、CATPART、TXT、SLDPRT、SLDASM、SAT、MDEF、PRT、SIM、ASM、PWD、IGS、STEP、JT、XPK等36种。</w:t>
      </w:r>
    </w:p>
    <w:p w14:paraId="6E86B49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支持逻辑脚本控制，仿真场景的虚拟设备通过多种通讯协议与外部控制器进行数据交换，支持OPCDA、OPCUD、MATLAB、PLSIM、TCP、UDP、Modbus-TCP、CMVM、PROFINET等操作，通过设备数据映射表，把外部控制器端口与三维模型的内部端口建立映射关系，用户可自行修改数据映射表。</w:t>
      </w:r>
    </w:p>
    <w:p w14:paraId="40CB5CB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（5）软件支持多品牌PLC和工业机器人仿真，硬件PLC在环仿真，仿真可进行抓拍和录制、仿真刷新时间可更改，且仿真支持前进一步、后退一步操作，可通过仿真分析改进结构的缺陷。</w:t>
      </w:r>
    </w:p>
    <w:p w14:paraId="54B10AE2">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系统中集成有丰富的工业元件，至少集成传送带、机器人、气缸、电磁阀、直线滑轨、丝杆、同步轮、同步带、缓冲器、拖链、齿轮、链条、传感器、普通按钮、急停按钮等，交流接触器、时间继电器、围栏、把手、铰链、型材、角铝等元件数量不少于3000个，可进深度搭建控制场景。</w:t>
      </w:r>
    </w:p>
    <w:p w14:paraId="26FB6C9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工程应用案例有模块化柔性生产线（包含上料站、传输模块、分拣模块、装配站、入库站；智能注塑机）、（包含三轴机械手、多级传输线、注塑机安全门、注塑机模具、加注螺旋杆、运行指示灯）、立体仓库控制、三轴运动控制。可进行纯虚拟调试，也可实现实体PLC在环通讯，进行虚实联动调试。</w:t>
      </w:r>
      <w:r>
        <w:rPr>
          <w:rFonts w:hint="eastAsia" w:ascii="宋体" w:hAnsi="宋体" w:eastAsia="宋体" w:cs="宋体"/>
          <w:color w:val="FF0000"/>
          <w:kern w:val="0"/>
          <w:sz w:val="24"/>
          <w:szCs w:val="24"/>
        </w:rPr>
        <w:t>投标文件中提供不少于</w:t>
      </w:r>
      <w:r>
        <w:rPr>
          <w:rFonts w:hint="eastAsia" w:ascii="宋体" w:hAnsi="宋体" w:eastAsia="宋体" w:cs="宋体"/>
          <w:color w:val="FF0000"/>
          <w:kern w:val="0"/>
          <w:sz w:val="24"/>
          <w:szCs w:val="24"/>
          <w:lang w:val="en-US" w:eastAsia="zh-CN"/>
        </w:rPr>
        <w:t>5种</w:t>
      </w:r>
      <w:r>
        <w:rPr>
          <w:rFonts w:hint="eastAsia" w:ascii="宋体" w:hAnsi="宋体" w:eastAsia="宋体" w:cs="宋体"/>
          <w:color w:val="FF0000"/>
          <w:kern w:val="0"/>
          <w:sz w:val="24"/>
          <w:szCs w:val="24"/>
        </w:rPr>
        <w:t>案例佐证材料。</w:t>
      </w:r>
    </w:p>
    <w:p w14:paraId="6A3BF10C">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10.控制器模块要求</w:t>
      </w:r>
    </w:p>
    <w:p w14:paraId="6595AF6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（1）主机PLC：用户存储器100K/4MB，位存储器8192个字节，布尔运算执行速度≤0.08us/指令，移动字执行速度≤1.7us/指令，数字量14输入/10输出，模拟量2输入，远程分布I/O模块数字量≥16输入/8输出，配TIA Portal V16、S7-PLCSIM V16正版授权，保证稳定可靠的编程环境。</w:t>
      </w:r>
    </w:p>
    <w:p w14:paraId="3A9A4770">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（2）人机界面要求：采用≥7英寸高亮度TFT液晶显示屏（分辨率800×480），带8个按键，支持多种通讯方式，具备强大的图像显示和数据处理功能，要求与主机PLC品牌一致。</w:t>
      </w:r>
    </w:p>
    <w:p w14:paraId="5058AA22">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安全光栅要求：主要由发射器1个、接收器1个、信号线缆2条和安装支架4个等组成；光幕形式：对射型，由发射器和接收器组成。发射器发出信号，接收器进行接收；安全光栅采用PNP型，DC24V供电；检测高度≥100~1200mm，检测距离≥0~5000mm。</w:t>
      </w:r>
    </w:p>
    <w:p w14:paraId="15D93A92">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11.静音气泵要求:配置供气系统输入电压AC220V±10% 50Hz，功率≥550W，排气量≥55L/min，最大压力≥0.7Mbar，储气罐≥24L。</w:t>
      </w:r>
    </w:p>
    <w:p w14:paraId="21FD92DB">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▲12.实训平台要求：</w:t>
      </w:r>
    </w:p>
    <w:p w14:paraId="6F2F075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（1）主体框架采用6060半圆截面和3060矩形截面工业铝合金型材组合结构，台面采用铝合金结构设有等间距8.2mm槽宽，便于模块化组件安装、调整。外形尺寸（LxWxH）：1560x1180x800mm。</w:t>
      </w:r>
    </w:p>
    <w:p w14:paraId="45E127DD">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平台采用前、后双开门设计，可视化亚克力板材质，内部存放设备及物品，底部装有4个工业级福马轮，右侧设有电气控制中心，采用自主设计的旋转机构，行程角度155°，可承重30kg，开启状态与地面呈65°设置，关闭状态与右侧面平齐，电气元件不外露，有效的利用内部、保证平台的整体性和电气控制中心实操性强。</w:t>
      </w:r>
    </w:p>
    <w:p w14:paraId="7BF6D250">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（3）平台前侧设有亮化装饰板，下设有LED柔和灯光，触摸屏面板与垂直水平面成15°，面板设有手/自动切换、启动、停止、复位、报警等功能，按钮采用不锈钢材质均能够内置发光。</w:t>
      </w:r>
    </w:p>
    <w:p w14:paraId="5B3E864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（4）招标文件需提供翻转机构的三个角度的实物高清图，每个角度相差≥40°，提供翻转机构的3D装配图、零部件加工图以及机构件清单。</w:t>
      </w:r>
    </w:p>
    <w:p w14:paraId="7569C5F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13．工作站辅助平台要求：主体框架采用铝合金型材、冷轧钢板成型件组装结构，外形尺寸：（LxWxH）：605x600x1005mm。</w:t>
      </w:r>
    </w:p>
    <w:p w14:paraId="1E65168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桌面板采用15mmMDF吸塑板，具有优良抗冲击性能、阻燃性和防静电性能，结合现代人体工程学审美要求，桌面靠人侧采用斜面30°圆弧边设计，呈几字形，四边角倒圆R30，在造型、结构上更具美观、实用性、舒适度，符合人体坐姿型态，使用习惯，具有第三方检测机构评估认证的SGS环保证书。</w:t>
      </w:r>
    </w:p>
    <w:p w14:paraId="58180310">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（2）立柱采用3060双面封铝型材，左、右采用L型冷轧钢板一次性成型加固件支撑。</w:t>
      </w:r>
    </w:p>
    <w:p w14:paraId="342881D6">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桌面后方设有冷轧钢板冲压成型的围板，避免显示器滑落，更具美观和整体性；桌面下配有冷轧钢板一次成型工艺的键盘托，上方有一次成型凹槽，可收纳笔或小型工具，下方设有可360°旋转收纳的鼠标托板，两侧采用静音导轨，可承重10kg。</w:t>
      </w:r>
    </w:p>
    <w:p w14:paraId="44143BF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底盘采用冷轧钢板冷冲压成型工艺，靠人侧采用圆弧边设计，人体坐姿更具舒适度，设有定位夹，可根据主机宽度大小自由调节定位，底部装四只2寸静音带刹车聚氨酯胶边脚轮，高承载，良好的减震和缓冲性能，移动方便。</w:t>
      </w:r>
    </w:p>
    <w:p w14:paraId="71B4BEC2">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.智慧实验综合管理系统要求</w:t>
      </w:r>
    </w:p>
    <w:p w14:paraId="737885D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平台采用JavaScript+Mysql+Bootstrap核心技术，采用跨平台的B/S框架，系统能够同时满足手机、平板和计算机等访问，并且提供WEB、微信小程序、ANDROID、IOS多终端设备免安装软件学习。</w:t>
      </w:r>
    </w:p>
    <w:p w14:paraId="71B3CE2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（1）为保护软件知识产权和后期维护升级等，教学资源管理平台要求为正版软件。投标时提供证明材料。</w:t>
      </w:r>
      <w:r>
        <w:rPr>
          <w:rFonts w:hint="eastAsia" w:ascii="宋体" w:hAnsi="宋体" w:eastAsia="宋体" w:cs="宋体"/>
          <w:color w:val="FF0000"/>
          <w:kern w:val="0"/>
          <w:sz w:val="24"/>
          <w:szCs w:val="24"/>
        </w:rPr>
        <w:t>以下功能投标时提供视频演示：</w:t>
      </w:r>
    </w:p>
    <w:p w14:paraId="19F916AC">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（2）平台支持PC端和微信小程序端访问，可分享课程二维码，直接微信扫码观看，平台现有以下视频资源：</w:t>
      </w:r>
    </w:p>
    <w:p w14:paraId="03E7903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①工业机器人资源：不少于</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种品牌，ABB课时不少于15节，FANUC课时不少于60节，KUKA课时不少于25节，YASKAWA课时不少于25节，其它每种品牌课时均不少于15节。</w:t>
      </w:r>
    </w:p>
    <w:p w14:paraId="65954023">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②可编程控制器资源：不少于4种，200 SMART课时不少于25节，1200课时不少于70节，FX5U课时不少于100节，FX3U课时不少于40节。</w:t>
      </w:r>
    </w:p>
    <w:p w14:paraId="29CA5F99">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③工业驱动资源：V90伺服课时不少于40节，V20变频器课时不少于20节，G120变频器课时不少于7节。</w:t>
      </w:r>
    </w:p>
    <w:p w14:paraId="53C2451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④其它资源：智能电梯课时不少于12节，气动技术课时不少于25节，液压技术课时不少于60节，触摸屏课时不少于15节，电气控制技术课时不少于70节，工业机械课时不少于25节。</w:t>
      </w:r>
    </w:p>
    <w:p w14:paraId="5EE1CC16">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（3）平台设有考核系统，后台题库数量：≥850。组卷方式应支持选题组卷、抽题组卷、随机组卷、综合组卷；答题时长可设置为整卷限时和单题限时两种模式</w:t>
      </w:r>
    </w:p>
    <w:p w14:paraId="175F5970">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试卷具有单选题、多选题、填空题、判断题、问答题、组合题、录音题七种大题。创建的试卷支持在线预览和word下载操作；学生考试可指定答卷时长、不限次数和及格线；支持微信扫码和分享链接等方式考试。</w:t>
      </w:r>
    </w:p>
    <w:p w14:paraId="20037422">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15.赛训一体数字化教学管理系统</w:t>
      </w:r>
    </w:p>
    <w:p w14:paraId="3F8B03AF">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系统包含日常训练、赛项模拟、成绩查看、赛项议程、专家库、实训管理等功能。强调在教学过程中将学习、实训和竞赛三个环节有机整合。赛训一体化教学创新模式结合了信息化技术和赛训课程管理内容，可用于院校日常实训课程管理、学业测评、技能鉴定考核等。通过赛训一体激发学生学习的兴趣，提高学生的专业技能、创新能力、团队协作能力等多方面能力。同时为便于用户的访问与操作，以下功能需在同一平台内，不接受各软件子系统采用不同厂商产品集成运用的解决方案，以免影响系统的整体兼容性、稳定性以及造成项目维护升级的不便利性。</w:t>
      </w:r>
    </w:p>
    <w:p w14:paraId="5319276A">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（1）赛课系统</w:t>
      </w:r>
    </w:p>
    <w:p w14:paraId="0709FB5B">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1）赛道管理：根据赛事实际情况创建对应赛道，并以列表形式呈现赛道信息（如：赛道名称、赛道介绍、创建时间、赛道状态等）；</w:t>
      </w:r>
    </w:p>
    <w:p w14:paraId="24FC907A">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2）赛项管理：支持赛事的赛项管理，支持创建自定义赛项并以列表呈现赛项信息（如：赛项名称、赛项介绍、开始时间、结束时间、创建时间、赛项状态）；并可以按照组织架构批量导入参赛人员；</w:t>
      </w:r>
    </w:p>
    <w:p w14:paraId="083F5790">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3）活动管理：系统可实现学校活动的管理，并以列表形式列出创建的活动信息（如：活动名称、活动简介、开始时间、结束时间、报名人数、创建时间、活动状态）；并且可以查看报名人员列表的信息 （如：工号、姓名、手机、所属学院）；支持报名人员信息以excel的格式批量导入并提供导入模板</w:t>
      </w:r>
      <w:r>
        <w:rPr>
          <w:rFonts w:hint="eastAsia" w:ascii="宋体" w:hAnsi="宋体" w:eastAsia="宋体" w:cs="宋体"/>
          <w:color w:val="FF0000"/>
          <w:kern w:val="0"/>
          <w:sz w:val="24"/>
          <w:szCs w:val="24"/>
        </w:rPr>
        <w:t>。（投标时提供视频演示此功能）</w:t>
      </w:r>
    </w:p>
    <w:p w14:paraId="010EEE7B">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4）赛事评委：系统默认需包含赛事评委的角色，支持给用户设定角色；</w:t>
      </w:r>
    </w:p>
    <w:p w14:paraId="34DF9CE1">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5）合作机构：系统需支持合作机构的管理，并以列表形式呈现合作机构信息（如：机构名称、跳转链接、创建时间、状态等）。</w:t>
      </w:r>
    </w:p>
    <w:p w14:paraId="0192466D">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专家资源：支持拥有赛事评委角色的用户发起专家资格申请，系统通过审核实现专家库的添加；同时需支持添加专家，并以列表的形式呈现专家信息（如：专家名称、专家手机、专家职称、专家来源、入库时间、状态等）；支持专家信息以excel的格式批量导入并提供导入模板。</w:t>
      </w:r>
      <w:r>
        <w:rPr>
          <w:rFonts w:hint="eastAsia" w:ascii="宋体" w:hAnsi="宋体" w:eastAsia="宋体" w:cs="宋体"/>
          <w:color w:val="FF0000"/>
          <w:kern w:val="0"/>
          <w:sz w:val="24"/>
          <w:szCs w:val="24"/>
        </w:rPr>
        <w:t>（投标时提供视频演示此功能）</w:t>
      </w:r>
    </w:p>
    <w:p w14:paraId="63A464AD">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理论在线考核：提供单选、多选、判断等题型及答案解析的录入；组卷规则：可配置各类题型、分值，师生考试时候可根据所选题库中的题目组卷；同时融入智能AI技术，AI组卷：系统需支持将PDF、Word、ppt等多种格式的文件转换为自然语言，并支持根据得到的自然语言一键出题，且需支持多种题目类型的生成，至少包括单选题、多选题、判断题；生成的题目需支持一键导入到题库，方便教师组卷；系统需自动把选手的成绩按名次排序；数据大屏支持自定义显示前几名人员的信息，头像等；系统需支持考试信息以列表的形式呈现，包括人员、考试次数、分数、是否通过、考试时间等信息；并且支持一键导出考试明细，方便教师对考试成绩进行统计。</w:t>
      </w:r>
      <w:r>
        <w:rPr>
          <w:rFonts w:hint="eastAsia" w:ascii="宋体" w:hAnsi="宋体" w:eastAsia="宋体" w:cs="宋体"/>
          <w:color w:val="FF0000"/>
          <w:kern w:val="0"/>
          <w:sz w:val="24"/>
          <w:szCs w:val="24"/>
        </w:rPr>
        <w:t>（投标时提供视频演示此功能）</w:t>
      </w:r>
    </w:p>
    <w:p w14:paraId="34B73553">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实操评分系统：系统需支持对赛项实操成绩手动录入和批量导入，并且排名数据需支持以列表的形式，包括名次、姓名、工号、得分、评委评分详情等数据；系统需支持管理员自定义计分方式，计分方式包含求平均值、去掉最高分最低分求平均值等方式；系统需支持根据计分方式自动把选手的成绩按名次排序；数据大屏支持自定义显示前几名人员的信息，头像等；系统支持赛项成绩一键导出到EXCEL。</w:t>
      </w:r>
      <w:r>
        <w:rPr>
          <w:rFonts w:hint="eastAsia" w:ascii="宋体" w:hAnsi="宋体" w:eastAsia="宋体" w:cs="宋体"/>
          <w:color w:val="FF0000"/>
          <w:kern w:val="0"/>
          <w:sz w:val="24"/>
          <w:szCs w:val="24"/>
        </w:rPr>
        <w:t>（投标时提供视频演示此功能）</w:t>
      </w:r>
    </w:p>
    <w:p w14:paraId="73859122">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数据统计：通过管理平台大数据分析、统计功能将赛项管理、实训管理、理论考核成绩排行、实操考核成绩排行、赛事完成率、赛事未完成率、理论实操平均分等数据进行综合统计分析，棒图显示，形成物联综合大数据并以可视化形式展示，以供参观、决策使用。</w:t>
      </w:r>
      <w:r>
        <w:rPr>
          <w:rFonts w:hint="eastAsia" w:ascii="宋体" w:hAnsi="宋体" w:eastAsia="宋体" w:cs="宋体"/>
          <w:color w:val="FF0000"/>
          <w:kern w:val="0"/>
          <w:sz w:val="24"/>
          <w:szCs w:val="24"/>
        </w:rPr>
        <w:t>（投标时提供视频演示此功能）</w:t>
      </w:r>
    </w:p>
    <w:p w14:paraId="661DB957">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（2）管理系统（投标时提供视频演示功能）</w:t>
      </w:r>
    </w:p>
    <w:p w14:paraId="1D5C1F57">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1）实训方案管理：根据实训教学安排，创建对应的实训方案，并以列表形式呈现实训信息（如：方案标题、方案内容、实训目标、负责人、开始时间、结束时间等）；</w:t>
      </w:r>
    </w:p>
    <w:p w14:paraId="722B132F">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实训资源管理：可实现实训课程对应的实训资源管理，以列表形式列出所选实训课程的课件资源信息（如：资源名称、资源类型、创建人、状态、创建时间等）可实现实训资源移动端查看，师生可在微信小程序点击查看相关资源；</w:t>
      </w:r>
    </w:p>
    <w:p w14:paraId="798BF652">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3）实训学生管理：可实现实训课程对应的学生管理，并以列表形式呈现学生信息（如：工号、学生姓名、邮箱、手机等）；</w:t>
      </w:r>
    </w:p>
    <w:p w14:paraId="0975988F">
      <w:pPr>
        <w:keepNext w:val="0"/>
        <w:keepLines w:val="0"/>
        <w:pageBreakBefore w:val="0"/>
        <w:widowControl w:val="0"/>
        <w:tabs>
          <w:tab w:val="left" w:pos="680"/>
        </w:tabs>
        <w:kinsoku/>
        <w:wordWrap/>
        <w:overflowPunct/>
        <w:topLinePunct w:val="0"/>
        <w:autoSpaceDE/>
        <w:autoSpaceDN/>
        <w:bidi w:val="0"/>
        <w:adjustRightInd w:val="0"/>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4）实训考勤：支持教师在实训时间内通过微信小程序查看考勤二维码，学生可通过微信扫描考勤二维码完成考勤；支持按时间段查看学生考勤信息，并批量导入考勤信息（如工号、日期、姓名、部门、状态）；</w:t>
      </w:r>
    </w:p>
    <w:p w14:paraId="72EC445F">
      <w:pPr>
        <w:keepNext w:val="0"/>
        <w:keepLines w:val="0"/>
        <w:pageBreakBefore w:val="0"/>
        <w:widowControl w:val="0"/>
        <w:kinsoku/>
        <w:wordWrap/>
        <w:overflowPunct/>
        <w:topLinePunct w:val="0"/>
        <w:autoSpaceDE/>
        <w:autoSpaceDN/>
        <w:bidi w:val="0"/>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16.可编程工作站</w:t>
      </w:r>
    </w:p>
    <w:p w14:paraId="73E5392B">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*1、CPU ：不低于Intel 酷睿13代I5处理器；</w:t>
      </w:r>
    </w:p>
    <w:p w14:paraId="7CED8CEA">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*2、内存：≥16G DDR5 5600MHz 内存；</w:t>
      </w:r>
    </w:p>
    <w:p w14:paraId="768A1C3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*3、硬盘：512G固态硬盘，不少于2个M.2 SSD槽位，1个HDD硬盘位，支持后续扩展存储；</w:t>
      </w:r>
    </w:p>
    <w:p w14:paraId="28C02EA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4、显卡：集成显卡；</w:t>
      </w:r>
    </w:p>
    <w:p w14:paraId="51566CCD">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5、电源：≥180W 节能电源，转换效率≥85%；</w:t>
      </w:r>
    </w:p>
    <w:p w14:paraId="72D6C91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*6、机箱：机箱体积≤9L；  *7、接口：≥9个USB接口，其中1个USB-C、6个USB3.2 、前置不少于4个USB3.2、VGA+HDMI接口；8、扩展槽：1个PCI-E*16、1个PCI-E*1 槽位；</w:t>
      </w:r>
    </w:p>
    <w:p w14:paraId="0ECA5307">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显示器：与主机同品牌23.8英寸液晶显示器，分辨率1920*1080；10、数据安全要求：具有USB屏蔽技术，仅识别USB键盘、鼠标，无法识别USB读取设备，有效防止数据泄露（投标时提供功能性截屏）；原厂提供数据擦除软件，擦除后不可恢复；3年之内，若出现数据丢失的情况，原厂提供1次免费的尝试性故障硬盘（单盘）数据拯救服务，若未恢复则不计次数；</w:t>
      </w:r>
    </w:p>
    <w:p w14:paraId="07D08D9E">
      <w:pPr>
        <w:keepNext w:val="0"/>
        <w:keepLines w:val="0"/>
        <w:pageBreakBefore w:val="0"/>
        <w:widowControl w:val="0"/>
        <w:kinsoku/>
        <w:wordWrap/>
        <w:overflowPunct/>
        <w:topLinePunct w:val="0"/>
        <w:autoSpaceDE/>
        <w:autoSpaceDN/>
        <w:bidi w:val="0"/>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整机提供3年免费原厂质保，3年免费上门，同时出具所投产品原厂商售后服务承诺函，要求提供所投产品原厂官网可查400技术支持电话、售后服务网点以及整机售后维保情况；所投标电脑品牌在当地设有专业维修站。所投电脑厂商具有"两化融合管理体系评定证书"AAA级；具有“CTEAS服务能力持续有效验证十二星级认证证书”，且通过的认证范围包含台式计算机、服务器、便携式计算机、桌面云的售后服务；具有“BSCC CTEAS售后服务体系完善程度七星级认证证书”，且通过的认证范围包含台式计算机、服务器、便携式计算机、桌面云的售后服务.</w:t>
      </w:r>
    </w:p>
    <w:p w14:paraId="0274A139">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四、可完成实验项目</w:t>
      </w:r>
    </w:p>
    <w:p w14:paraId="1DA8F3EA">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工业机器人应用</w:t>
      </w:r>
      <w:r>
        <w:rPr>
          <w:rFonts w:hint="eastAsia" w:ascii="宋体" w:hAnsi="宋体" w:eastAsia="宋体" w:cs="宋体"/>
          <w:sz w:val="24"/>
          <w:szCs w:val="24"/>
          <w:lang w:val="en-US" w:eastAsia="zh-CN"/>
        </w:rPr>
        <w:t>类</w:t>
      </w:r>
    </w:p>
    <w:p w14:paraId="5E5F7960">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PLC的设计与应用</w:t>
      </w:r>
      <w:r>
        <w:rPr>
          <w:rFonts w:hint="eastAsia" w:ascii="宋体" w:hAnsi="宋体" w:eastAsia="宋体" w:cs="宋体"/>
          <w:sz w:val="24"/>
          <w:szCs w:val="24"/>
          <w:lang w:val="en-US" w:eastAsia="zh-CN"/>
        </w:rPr>
        <w:t>类</w:t>
      </w:r>
    </w:p>
    <w:p w14:paraId="6720EEE3">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气动技术</w:t>
      </w:r>
      <w:r>
        <w:rPr>
          <w:rFonts w:hint="eastAsia" w:ascii="宋体" w:hAnsi="宋体" w:eastAsia="宋体" w:cs="宋体"/>
          <w:sz w:val="24"/>
          <w:szCs w:val="24"/>
          <w:lang w:val="en-US" w:eastAsia="zh-CN"/>
        </w:rPr>
        <w:t>类</w:t>
      </w:r>
    </w:p>
    <w:p w14:paraId="1BEDADBE">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变频器的安装与调试</w:t>
      </w:r>
      <w:r>
        <w:rPr>
          <w:rFonts w:hint="eastAsia" w:ascii="宋体" w:hAnsi="宋体" w:eastAsia="宋体" w:cs="宋体"/>
          <w:sz w:val="24"/>
          <w:szCs w:val="24"/>
          <w:lang w:val="en-US" w:eastAsia="zh-CN"/>
        </w:rPr>
        <w:t>类</w:t>
      </w:r>
    </w:p>
    <w:p w14:paraId="4A87BD4A">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人机界面基本控制及设置</w:t>
      </w:r>
      <w:r>
        <w:rPr>
          <w:rFonts w:hint="eastAsia" w:ascii="宋体" w:hAnsi="宋体" w:eastAsia="宋体" w:cs="宋体"/>
          <w:sz w:val="24"/>
          <w:szCs w:val="24"/>
          <w:lang w:val="en-US" w:eastAsia="zh-CN"/>
        </w:rPr>
        <w:t>类</w:t>
      </w:r>
    </w:p>
    <w:p w14:paraId="627DEE82">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宋体" w:hAnsi="宋体" w:eastAsia="宋体" w:cs="宋体"/>
          <w:sz w:val="24"/>
          <w:szCs w:val="24"/>
          <w:lang w:val="en-US" w:eastAsia="zh-CN"/>
        </w:rPr>
      </w:pPr>
    </w:p>
    <w:p w14:paraId="095503CB">
      <w:pPr>
        <w:numPr>
          <w:ilvl w:val="0"/>
          <w:numId w:val="0"/>
        </w:numPr>
        <w:ind w:leftChars="0"/>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05A45"/>
    <w:rsid w:val="11D54941"/>
    <w:rsid w:val="15A7708A"/>
    <w:rsid w:val="209459C7"/>
    <w:rsid w:val="284265FC"/>
    <w:rsid w:val="31AE5E18"/>
    <w:rsid w:val="34346E4D"/>
    <w:rsid w:val="4BFB76A0"/>
    <w:rsid w:val="54CA13DC"/>
    <w:rsid w:val="57D32355"/>
    <w:rsid w:val="592B61C1"/>
    <w:rsid w:val="5CF71D59"/>
    <w:rsid w:val="5E8934BC"/>
    <w:rsid w:val="661F7079"/>
    <w:rsid w:val="688A7028"/>
    <w:rsid w:val="697119CE"/>
    <w:rsid w:val="700E441B"/>
    <w:rsid w:val="726245AA"/>
    <w:rsid w:val="74CA4688"/>
    <w:rsid w:val="794964C4"/>
    <w:rsid w:val="7CC200A2"/>
    <w:rsid w:val="7F3B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7242</Words>
  <Characters>8241</Characters>
  <Lines>0</Lines>
  <Paragraphs>0</Paragraphs>
  <TotalTime>8</TotalTime>
  <ScaleCrop>false</ScaleCrop>
  <LinksUpToDate>false</LinksUpToDate>
  <CharactersWithSpaces>8275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2025-11-17T01:06:00Z</dcterms:created>
  <dc:creator>Administrator</dc:creator>
  <cp:lastModifiedBy>YY</cp:lastModifiedBy>
  <dcterms:modified xsi:type="dcterms:W3CDTF">2025-11-17T02:32:54Z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eyJoZGlkIjoiYzhjNTA3YmQyMGEyMDAxZmIxNGNjNzdmZGYxNzcyMzUiLCJ1c2VySWQiOiI1NTU1MzM0ODAifQ==</vt:lpwstr>
  </property>
  <property fmtid="{D5CDD505-2E9C-101B-9397-08002B2CF9AE}" pid="4" name="ICV">
    <vt:lpwstr>5C1A11B0AA7B451D91BFDBEF59A3D01F_12</vt:lpwstr>
  </property>
</Properties>
</file>