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spacing w:lineRule="exact" w:line="500"/>
        <w:jc w:val="center"/>
        <w:rPr>
          <w:rFonts w:ascii="楷体" w:eastAsia="楷体" w:hAnsi="楷体"/>
          <w:b/>
          <w:sz w:val="44"/>
          <w:szCs w:val="24"/>
        </w:rPr>
      </w:pPr>
      <w:r>
        <w:rPr>
          <w:rFonts w:ascii="楷体" w:eastAsia="楷体" w:hAnsi="楷体" w:hint="eastAsia"/>
          <w:b/>
          <w:sz w:val="44"/>
          <w:szCs w:val="24"/>
        </w:rPr>
        <w:t>长城汽车股份有限公司泰州</w:t>
      </w:r>
      <w:r>
        <w:rPr>
          <w:rFonts w:ascii="楷体" w:eastAsia="楷体" w:hAnsi="楷体"/>
          <w:b/>
          <w:sz w:val="44"/>
          <w:szCs w:val="24"/>
        </w:rPr>
        <w:t>分公司</w:t>
      </w:r>
    </w:p>
    <w:p>
      <w:pPr>
        <w:pStyle w:val="style0"/>
        <w:spacing w:lineRule="exact" w:line="500"/>
        <w:jc w:val="center"/>
        <w:rPr>
          <w:rFonts w:ascii="楷体" w:eastAsia="楷体" w:hAnsi="楷体"/>
          <w:b/>
          <w:sz w:val="44"/>
          <w:szCs w:val="24"/>
        </w:rPr>
      </w:pPr>
      <w:r>
        <w:rPr>
          <w:rFonts w:ascii="楷体" w:eastAsia="楷体" w:hAnsi="楷体" w:hint="eastAsia"/>
          <w:b/>
          <w:sz w:val="44"/>
          <w:szCs w:val="24"/>
        </w:rPr>
        <w:t>技术工招聘简章</w:t>
      </w:r>
    </w:p>
    <w:p>
      <w:pPr>
        <w:pStyle w:val="style0"/>
        <w:spacing w:lineRule="exact" w:line="500"/>
        <w:jc w:val="left"/>
        <w:rPr>
          <w:rFonts w:ascii="楷体" w:eastAsia="楷体" w:hAnsi="楷体"/>
          <w:b/>
          <w:sz w:val="28"/>
          <w:szCs w:val="28"/>
        </w:rPr>
      </w:pPr>
      <w:r>
        <w:rPr>
          <w:rFonts w:ascii="楷体" w:eastAsia="楷体" w:hAnsi="楷体" w:hint="eastAsia"/>
          <w:b/>
          <w:sz w:val="28"/>
          <w:szCs w:val="28"/>
        </w:rPr>
        <w:t>一、长城汽车</w:t>
      </w:r>
      <w:r>
        <w:rPr>
          <w:rFonts w:ascii="楷体" w:eastAsia="楷体" w:hAnsi="楷体"/>
          <w:b/>
          <w:sz w:val="28"/>
          <w:szCs w:val="28"/>
        </w:rPr>
        <w:t>概况：</w:t>
      </w:r>
    </w:p>
    <w:p>
      <w:pPr>
        <w:pStyle w:val="style0"/>
        <w:spacing w:lineRule="exact" w:line="500"/>
        <w:jc w:val="left"/>
        <w:rPr>
          <w:rFonts w:ascii="楷体" w:eastAsia="楷体" w:hAnsi="楷体"/>
          <w:b/>
          <w:sz w:val="28"/>
          <w:szCs w:val="24"/>
        </w:rPr>
      </w:pPr>
      <w:r>
        <w:rPr>
          <w:rFonts w:ascii="楷体" w:eastAsia="楷体" w:hAnsi="楷体"/>
          <w:sz w:val="24"/>
          <w:szCs w:val="24"/>
        </w:rPr>
        <w:t xml:space="preserve">    </w:t>
      </w:r>
      <w:r>
        <w:rPr>
          <w:rFonts w:ascii="楷体" w:eastAsia="楷体" w:hAnsi="楷体" w:hint="eastAsia"/>
          <w:sz w:val="24"/>
          <w:szCs w:val="24"/>
        </w:rPr>
        <w:t>长城汽车股份有限公司（简称"长城汽车"，股票代码：A股601633、H股02333）是在国内A股和香港H股均上市的知名汽车公司，拥有长城、哈弗、WEY和欧拉四个品牌，下属控股子公司70余家，员工7万余人。2018年，长城汽车资产总计达1118亿元。</w:t>
      </w:r>
      <w:r>
        <w:rPr>
          <w:rFonts w:ascii="楷体" w:eastAsia="楷体" w:hAnsi="楷体" w:hint="eastAsia"/>
          <w:sz w:val="24"/>
          <w:szCs w:val="24"/>
        </w:rPr>
        <w:cr/>
      </w:r>
      <w:r>
        <w:rPr>
          <w:rFonts w:ascii="楷体" w:eastAsia="楷体" w:hAnsi="楷体"/>
          <w:sz w:val="24"/>
          <w:szCs w:val="24"/>
        </w:rPr>
        <w:t xml:space="preserve">     </w:t>
      </w:r>
      <w:r>
        <w:rPr>
          <w:rFonts w:ascii="楷体" w:eastAsia="楷体" w:hAnsi="楷体" w:hint="eastAsia"/>
          <w:sz w:val="24"/>
          <w:szCs w:val="24"/>
        </w:rPr>
        <w:t>除传统汽车外，还涉及汽车金融、移动出行、保险经纪、物流、地产、教育、医疗等多产业领域，逐步成长为全生命周期智能出行服务商。</w:t>
      </w:r>
      <w:r>
        <w:rPr>
          <w:rFonts w:ascii="楷体" w:eastAsia="楷体" w:hAnsi="楷体" w:hint="eastAsia"/>
          <w:sz w:val="24"/>
          <w:szCs w:val="24"/>
        </w:rPr>
        <w:cr/>
      </w:r>
      <w:r>
        <w:rPr>
          <w:rFonts w:ascii="楷体" w:eastAsia="楷体" w:hAnsi="楷体" w:hint="eastAsia"/>
          <w:b/>
          <w:sz w:val="28"/>
          <w:szCs w:val="28"/>
        </w:rPr>
        <w:t>二、泰州分公司简介：</w:t>
      </w:r>
      <w:r>
        <w:rPr>
          <w:rFonts w:ascii="楷体" w:eastAsia="楷体" w:hAnsi="楷体" w:hint="eastAsia"/>
          <w:sz w:val="24"/>
          <w:szCs w:val="24"/>
        </w:rPr>
        <w:t xml:space="preserve"> </w:t>
      </w:r>
      <w:r>
        <w:rPr>
          <w:rFonts w:ascii="楷体" w:eastAsia="楷体" w:hAnsi="楷体" w:hint="eastAsia"/>
          <w:sz w:val="24"/>
          <w:szCs w:val="24"/>
        </w:rPr>
        <w:cr/>
      </w:r>
      <w:r>
        <w:rPr>
          <w:rFonts w:ascii="楷体" w:eastAsia="楷体" w:hAnsi="楷体"/>
          <w:sz w:val="24"/>
          <w:szCs w:val="24"/>
        </w:rPr>
        <w:t xml:space="preserve">     </w:t>
      </w:r>
      <w:r>
        <w:rPr>
          <w:rFonts w:ascii="楷体" w:eastAsia="楷体" w:hAnsi="楷体" w:hint="eastAsia"/>
          <w:sz w:val="24"/>
          <w:szCs w:val="24"/>
        </w:rPr>
        <w:t>2019年2月20日，长城汽车确定落户泰州；主要建设汽车整车、内外饰及底盘制造项目，项目占地1173亩、规划员工3000人，先期投资80亿元，预计于2020年</w:t>
      </w:r>
      <w:r>
        <w:rPr>
          <w:rFonts w:ascii="楷体" w:eastAsia="楷体" w:hAnsi="楷体" w:hint="default"/>
          <w:sz w:val="24"/>
          <w:szCs w:val="24"/>
        </w:rPr>
        <w:t>10</w:t>
      </w:r>
      <w:r>
        <w:rPr>
          <w:rFonts w:ascii="楷体" w:eastAsia="楷体" w:hAnsi="楷体" w:hint="eastAsia"/>
          <w:sz w:val="24"/>
          <w:szCs w:val="24"/>
        </w:rPr>
        <w:t>月正式投产。</w:t>
      </w:r>
      <w:r>
        <w:rPr>
          <w:rFonts w:ascii="楷体" w:eastAsia="楷体" w:hAnsi="楷体" w:hint="eastAsia"/>
          <w:sz w:val="24"/>
          <w:szCs w:val="24"/>
        </w:rPr>
        <w:cr/>
      </w:r>
      <w:r>
        <w:rPr>
          <w:rFonts w:ascii="楷体" w:eastAsia="楷体" w:hAnsi="楷体" w:hint="eastAsia"/>
          <w:sz w:val="24"/>
          <w:szCs w:val="24"/>
        </w:rPr>
        <w:t xml:space="preserve">     泰州生产基地总规划约10平方公里，通过5-10年的发展，构建完整的汽车产业链体系，建设创新驱动、科技人文、宜居宜业、产城交融的国际化园区，围绕“创新、协调、绿色、开放、共享”发展理念，以投资建设汽车整车制造为核心，汽车关键零部件为配套、以及金融（包括汽车金融）、汽车保险、共享出行、汽车产业创业基地等为延伸的汽车科技产业园。</w:t>
      </w:r>
      <w:r>
        <w:rPr>
          <w:rFonts w:ascii="楷体" w:eastAsia="楷体" w:hAnsi="楷体" w:hint="eastAsia"/>
          <w:sz w:val="24"/>
          <w:szCs w:val="24"/>
        </w:rPr>
        <w:cr/>
      </w:r>
      <w:r>
        <w:rPr>
          <w:rFonts w:ascii="楷体" w:eastAsia="楷体" w:hAnsi="楷体" w:hint="eastAsia"/>
          <w:sz w:val="24"/>
          <w:szCs w:val="24"/>
        </w:rPr>
        <w:t xml:space="preserve">      泰州厂区主要包括：冲压车间、焊装车间、涂装车间、总装车间以及诺博汽车、精诚工科等四家零部件公司。泰州基地主要生产A01、ES11两款车型，整体规划年产能为20万辆。</w:t>
      </w:r>
      <w:r>
        <w:rPr>
          <w:rFonts w:ascii="楷体" w:eastAsia="楷体" w:hAnsi="楷体"/>
          <w:sz w:val="24"/>
          <w:szCs w:val="24"/>
        </w:rPr>
        <w:cr/>
      </w:r>
      <w:r>
        <w:rPr>
          <w:rFonts w:ascii="楷体" w:eastAsia="楷体" w:hAnsi="楷体" w:hint="eastAsia"/>
          <w:b/>
          <w:sz w:val="28"/>
          <w:szCs w:val="24"/>
        </w:rPr>
        <w:t>三、企业工厂</w:t>
      </w:r>
      <w:r>
        <w:rPr>
          <w:rFonts w:ascii="楷体" w:eastAsia="楷体" w:hAnsi="楷体"/>
          <w:b/>
          <w:sz w:val="28"/>
          <w:szCs w:val="24"/>
        </w:rPr>
        <w:t>布局：</w:t>
      </w:r>
    </w:p>
    <w:p>
      <w:pPr>
        <w:pStyle w:val="style0"/>
        <w:spacing w:lineRule="exact" w:line="500"/>
        <w:jc w:val="left"/>
        <w:rPr>
          <w:rFonts w:ascii="楷体" w:eastAsia="楷体" w:hAnsi="楷体"/>
          <w:b/>
          <w:sz w:val="28"/>
          <w:szCs w:val="24"/>
        </w:rPr>
      </w:pPr>
      <w:r>
        <w:rPr>
          <w:rFonts w:ascii="楷体" w:eastAsia="楷体" w:hAnsi="楷体"/>
          <w:b/>
          <w:sz w:val="24"/>
          <w:szCs w:val="24"/>
        </w:rPr>
        <w:drawing>
          <wp:anchor distT="0" distB="0" distL="114300" distR="114300" simplePos="false" relativeHeight="10" behindDoc="false" locked="false" layoutInCell="true" allowOverlap="true">
            <wp:simplePos x="0" y="0"/>
            <wp:positionH relativeFrom="column">
              <wp:posOffset>977900</wp:posOffset>
            </wp:positionH>
            <wp:positionV relativeFrom="paragraph">
              <wp:posOffset>13334</wp:posOffset>
            </wp:positionV>
            <wp:extent cx="5067300" cy="2849245"/>
            <wp:effectExtent l="0" t="0" r="0" b="0"/>
            <wp:wrapSquare wrapText="bothSides"/>
            <wp:docPr id="1026" name="图片 1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067300" cy="284924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spacing w:lineRule="exact" w:line="500"/>
        <w:jc w:val="left"/>
        <w:rPr>
          <w:rFonts w:ascii="楷体" w:eastAsia="楷体" w:hAnsi="楷体"/>
          <w:b/>
          <w:sz w:val="28"/>
          <w:szCs w:val="24"/>
        </w:rPr>
      </w:pPr>
    </w:p>
    <w:p>
      <w:pPr>
        <w:pStyle w:val="style0"/>
        <w:tabs>
          <w:tab w:val="center" w:leader="none" w:pos="4961"/>
        </w:tabs>
        <w:jc w:val="center"/>
        <w:rPr>
          <w:rFonts w:ascii="楷体" w:eastAsia="楷体" w:hAnsi="楷体"/>
          <w:b/>
          <w:sz w:val="24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  <w:r>
        <w:rPr>
          <w:rFonts w:ascii="楷体" w:cs="宋体" w:eastAsia="楷体" w:hAnsi="楷体" w:hint="eastAsia"/>
          <w:b/>
          <w:color w:val="000000"/>
          <w:kern w:val="0"/>
          <w:sz w:val="28"/>
          <w:szCs w:val="24"/>
        </w:rPr>
        <w:t>四</w:t>
      </w:r>
      <w:r>
        <w:rPr>
          <w:rFonts w:ascii="楷体" w:cs="宋体" w:eastAsia="楷体" w:hAnsi="楷体"/>
          <w:b/>
          <w:color w:val="000000"/>
          <w:kern w:val="0"/>
          <w:sz w:val="28"/>
          <w:szCs w:val="24"/>
        </w:rPr>
        <w:t>、车间</w:t>
      </w:r>
      <w:r>
        <w:rPr>
          <w:rFonts w:ascii="楷体" w:cs="宋体" w:eastAsia="楷体" w:hAnsi="楷体" w:hint="eastAsia"/>
          <w:b/>
          <w:color w:val="000000"/>
          <w:kern w:val="0"/>
          <w:sz w:val="28"/>
          <w:szCs w:val="24"/>
        </w:rPr>
        <w:t>概况</w:t>
      </w: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  <w:r>
        <w:rPr>
          <w:rFonts w:ascii="楷体" w:cs="宋体" w:eastAsia="楷体" w:hAnsi="楷体"/>
          <w:b/>
          <w:color w:val="000000"/>
          <w:kern w:val="0"/>
          <w:sz w:val="28"/>
          <w:szCs w:val="24"/>
        </w:rPr>
        <w:drawing>
          <wp:anchor distT="0" distB="0" distL="114300" distR="114300" simplePos="false" relativeHeight="5" behindDoc="true" locked="false" layoutInCell="true" allowOverlap="true">
            <wp:simplePos x="0" y="0"/>
            <wp:positionH relativeFrom="column">
              <wp:posOffset>3530600</wp:posOffset>
            </wp:positionH>
            <wp:positionV relativeFrom="paragraph">
              <wp:posOffset>74295</wp:posOffset>
            </wp:positionV>
            <wp:extent cx="3228975" cy="2077085"/>
            <wp:effectExtent l="0" t="0" r="0" b="0"/>
            <wp:wrapTight wrapText="bothSides">
              <wp:wrapPolygon edited="false">
                <wp:start x="0" y="0"/>
                <wp:lineTo x="0" y="21395"/>
                <wp:lineTo x="21536" y="21395"/>
                <wp:lineTo x="21536" y="0"/>
                <wp:lineTo x="0" y="0"/>
              </wp:wrapPolygon>
            </wp:wrapTight>
            <wp:docPr id="1027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28975" cy="207708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楷体" w:cs="宋体" w:eastAsia="楷体" w:hAnsi="楷体"/>
          <w:b/>
          <w:color w:val="000000"/>
          <w:kern w:val="0"/>
          <w:sz w:val="28"/>
          <w:szCs w:val="24"/>
        </w:rPr>
        <w:drawing>
          <wp:anchor distT="0" distB="0" distL="114300" distR="114300" simplePos="false" relativeHeight="3" behindDoc="true" locked="false" layoutInCell="true" allowOverlap="true">
            <wp:simplePos x="0" y="0"/>
            <wp:positionH relativeFrom="column">
              <wp:posOffset>-3175</wp:posOffset>
            </wp:positionH>
            <wp:positionV relativeFrom="paragraph">
              <wp:posOffset>45720</wp:posOffset>
            </wp:positionV>
            <wp:extent cx="3278505" cy="2066925"/>
            <wp:effectExtent l="0" t="0" r="0" b="0"/>
            <wp:wrapTight wrapText="bothSides">
              <wp:wrapPolygon edited="false">
                <wp:start x="0" y="0"/>
                <wp:lineTo x="0" y="21500"/>
                <wp:lineTo x="21462" y="21500"/>
                <wp:lineTo x="21462" y="0"/>
                <wp:lineTo x="0" y="0"/>
              </wp:wrapPolygon>
            </wp:wrapTight>
            <wp:docPr id="1028" name="图片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78505" cy="20669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  <w:r>
        <w:rPr>
          <w:rFonts w:ascii="楷体" w:cs="宋体" w:eastAsia="楷体" w:hAnsi="楷体"/>
          <w:b/>
          <w:color w:val="000000"/>
          <w:kern w:val="0"/>
          <w:sz w:val="28"/>
          <w:szCs w:val="24"/>
        </w:rPr>
        <w:drawing>
          <wp:anchor distT="0" distB="0" distL="114300" distR="114300" simplePos="false" relativeHeight="7" behindDoc="true" locked="false" layoutInCell="true" allowOverlap="true">
            <wp:simplePos x="0" y="0"/>
            <wp:positionH relativeFrom="column">
              <wp:posOffset>-3286125</wp:posOffset>
            </wp:positionH>
            <wp:positionV relativeFrom="paragraph">
              <wp:posOffset>312420</wp:posOffset>
            </wp:positionV>
            <wp:extent cx="3152775" cy="2115820"/>
            <wp:effectExtent l="0" t="0" r="0" b="0"/>
            <wp:wrapTight wrapText="bothSides">
              <wp:wrapPolygon edited="false">
                <wp:start x="0" y="0"/>
                <wp:lineTo x="0" y="21393"/>
                <wp:lineTo x="21535" y="21393"/>
                <wp:lineTo x="21535" y="0"/>
                <wp:lineTo x="0" y="0"/>
              </wp:wrapPolygon>
            </wp:wrapTight>
            <wp:docPr id="1029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152775" cy="211582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  <w:r>
        <w:rPr>
          <w:rFonts w:ascii="楷体" w:cs="宋体" w:eastAsia="楷体" w:hAnsi="楷体"/>
          <w:b/>
          <w:color w:val="000000"/>
          <w:kern w:val="0"/>
          <w:sz w:val="28"/>
          <w:szCs w:val="24"/>
        </w:rPr>
        <w:drawing>
          <wp:anchor distT="0" distB="0" distL="114300" distR="114300" simplePos="false" relativeHeight="9" behindDoc="true" locked="false" layoutInCell="true" allowOverlap="true">
            <wp:simplePos x="0" y="0"/>
            <wp:positionH relativeFrom="column">
              <wp:posOffset>-2540</wp:posOffset>
            </wp:positionH>
            <wp:positionV relativeFrom="paragraph">
              <wp:posOffset>83820</wp:posOffset>
            </wp:positionV>
            <wp:extent cx="3263900" cy="1981834"/>
            <wp:effectExtent l="0" t="0" r="0" b="0"/>
            <wp:wrapTight wrapText="bothSides">
              <wp:wrapPolygon edited="false">
                <wp:start x="0" y="0"/>
                <wp:lineTo x="0" y="21385"/>
                <wp:lineTo x="21432" y="21385"/>
                <wp:lineTo x="21432" y="0"/>
                <wp:lineTo x="0" y="0"/>
              </wp:wrapPolygon>
            </wp:wrapTight>
            <wp:docPr id="1030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263900" cy="1981834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2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8"/>
          <w:szCs w:val="24"/>
        </w:rPr>
      </w:pPr>
      <w:r>
        <w:rPr>
          <w:rFonts w:ascii="楷体" w:cs="宋体" w:eastAsia="楷体" w:hAnsi="楷体" w:hint="eastAsia"/>
          <w:b/>
          <w:color w:val="000000"/>
          <w:kern w:val="0"/>
          <w:sz w:val="22"/>
          <w:szCs w:val="24"/>
        </w:rPr>
        <w:t>生产车间主要</w:t>
      </w:r>
      <w:r>
        <w:rPr>
          <w:rFonts w:ascii="楷体" w:cs="宋体" w:eastAsia="楷体" w:hAnsi="楷体"/>
          <w:b/>
          <w:color w:val="000000"/>
          <w:kern w:val="0"/>
          <w:sz w:val="22"/>
          <w:szCs w:val="24"/>
        </w:rPr>
        <w:t>设备：</w:t>
      </w:r>
      <w:r>
        <w:rPr>
          <w:rFonts w:ascii="楷体" w:cs="宋体" w:eastAsia="楷体" w:hAnsi="楷体" w:hint="eastAsia"/>
          <w:color w:val="000000"/>
          <w:kern w:val="0"/>
          <w:sz w:val="22"/>
          <w:szCs w:val="24"/>
        </w:rPr>
        <w:t>瑞士苏泰克激光拼焊生产线、德国KUKA自动化生产线、瑞士</w:t>
      </w:r>
      <w:r>
        <w:rPr>
          <w:rFonts w:ascii="微软雅黑" w:cs="微软雅黑" w:eastAsia="微软雅黑" w:hAnsi="微软雅黑" w:hint="eastAsia"/>
          <w:color w:val="000000"/>
          <w:kern w:val="0"/>
          <w:sz w:val="22"/>
          <w:szCs w:val="24"/>
        </w:rPr>
        <w:t>￭</w:t>
      </w:r>
      <w:r>
        <w:rPr>
          <w:rFonts w:ascii="楷体" w:cs="宋体" w:eastAsia="楷体" w:hAnsi="楷体"/>
          <w:color w:val="000000"/>
          <w:kern w:val="0"/>
          <w:sz w:val="22"/>
          <w:szCs w:val="24"/>
        </w:rPr>
        <w:t>ABB</w:t>
      </w:r>
      <w:r>
        <w:rPr>
          <w:rFonts w:ascii="楷体" w:cs="宋体" w:eastAsia="楷体" w:hAnsi="楷体" w:hint="eastAsia"/>
          <w:color w:val="000000"/>
          <w:kern w:val="0"/>
          <w:sz w:val="22"/>
          <w:szCs w:val="24"/>
        </w:rPr>
        <w:t>全自动机器人柔性生产线、法国SAMES静电悬杯、日本YASKAWA壁挂机器人、AGV举升系统。</w:t>
      </w: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8"/>
          <w:szCs w:val="24"/>
        </w:rPr>
      </w:pPr>
      <w:r>
        <w:rPr>
          <w:rFonts w:ascii="楷体" w:cs="宋体" w:eastAsia="楷体" w:hAnsi="楷体" w:hint="eastAsia"/>
          <w:b/>
          <w:color w:val="000000"/>
          <w:kern w:val="0"/>
          <w:sz w:val="28"/>
          <w:szCs w:val="24"/>
        </w:rPr>
        <w:t>五、岗位信息</w:t>
      </w:r>
    </w:p>
    <w:tbl>
      <w:tblPr>
        <w:tblStyle w:val="style105"/>
        <w:tblW w:w="9922" w:type="dxa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3"/>
        <w:gridCol w:w="1275"/>
        <w:gridCol w:w="2127"/>
        <w:gridCol w:w="4677"/>
      </w:tblGrid>
      <w:tr>
        <w:trPr>
          <w:trHeight w:val="483" w:hRule="atLeast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b/>
                <w:bCs/>
                <w:color w:val="000000"/>
                <w:kern w:val="0"/>
                <w:sz w:val="24"/>
                <w:szCs w:val="24"/>
              </w:rPr>
              <w:t>岗位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b/>
                <w:bCs/>
                <w:color w:val="000000"/>
                <w:kern w:val="0"/>
                <w:sz w:val="24"/>
                <w:szCs w:val="24"/>
              </w:rPr>
              <w:t>学历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b/>
                <w:bCs/>
                <w:color w:val="000000"/>
                <w:kern w:val="0"/>
                <w:sz w:val="24"/>
                <w:szCs w:val="24"/>
              </w:rPr>
              <w:t>专业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b/>
                <w:bCs/>
                <w:color w:val="000000"/>
                <w:kern w:val="0"/>
                <w:sz w:val="24"/>
                <w:szCs w:val="24"/>
              </w:rPr>
              <w:t>招聘</w:t>
            </w:r>
            <w:r>
              <w:rPr>
                <w:rFonts w:ascii="楷体" w:cs="宋体" w:eastAsia="楷体" w:hAnsi="楷体"/>
                <w:b/>
                <w:bCs/>
                <w:color w:val="000000"/>
                <w:kern w:val="0"/>
                <w:sz w:val="24"/>
                <w:szCs w:val="24"/>
              </w:rPr>
              <w:t>基本</w:t>
            </w:r>
            <w:r>
              <w:rPr>
                <w:rFonts w:ascii="楷体" w:cs="宋体" w:eastAsia="楷体" w:hAnsi="楷体" w:hint="eastAsia"/>
                <w:b/>
                <w:bCs/>
                <w:color w:val="000000"/>
                <w:kern w:val="0"/>
                <w:sz w:val="24"/>
                <w:szCs w:val="24"/>
              </w:rPr>
              <w:t>要求</w:t>
            </w:r>
          </w:p>
        </w:tc>
      </w:tr>
      <w:tr>
        <w:tblPrEx/>
        <w:trPr>
          <w:trHeight w:val="2335" w:hRule="atLeast"/>
        </w:trPr>
        <w:tc>
          <w:tcPr>
            <w:tcW w:w="1843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汽车整车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生产线技术工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中专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中技   大专</w:t>
            </w:r>
          </w:p>
        </w:tc>
        <w:tc>
          <w:tcPr>
            <w:tcW w:w="2127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机械机电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电子电工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自动化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汽车装配</w:t>
            </w: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汽车检测</w:t>
            </w: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br/>
            </w: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焊接/数控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物流/模具</w:t>
            </w:r>
          </w:p>
          <w:p>
            <w:pPr>
              <w:pStyle w:val="style0"/>
              <w:widowControl/>
              <w:spacing w:lineRule="exact" w:line="480"/>
              <w:jc w:val="center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等专业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179"/>
              <w:widowControl/>
              <w:numPr>
                <w:ilvl w:val="0"/>
                <w:numId w:val="1"/>
              </w:numPr>
              <w:spacing w:lineRule="exact" w:line="480"/>
              <w:ind w:firstLineChars="0"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年满16周岁；</w:t>
            </w:r>
            <w:r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  <w:t xml:space="preserve"> </w:t>
            </w:r>
          </w:p>
          <w:p>
            <w:pPr>
              <w:pStyle w:val="style179"/>
              <w:widowControl/>
              <w:numPr>
                <w:ilvl w:val="0"/>
                <w:numId w:val="1"/>
              </w:numPr>
              <w:spacing w:lineRule="exact" w:line="480"/>
              <w:ind w:firstLineChars="0"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视力双眼(矫正) 0.8以上，无传染性或其他可能影响工作的疾病；</w:t>
            </w:r>
          </w:p>
          <w:p>
            <w:pPr>
              <w:pStyle w:val="style179"/>
              <w:widowControl/>
              <w:numPr>
                <w:ilvl w:val="0"/>
                <w:numId w:val="1"/>
              </w:numPr>
              <w:spacing w:lineRule="exact" w:line="480"/>
              <w:ind w:firstLineChars="0"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生活习惯良好，吃苦耐劳、积极上进；</w:t>
            </w:r>
          </w:p>
          <w:p>
            <w:pPr>
              <w:pStyle w:val="style179"/>
              <w:widowControl/>
              <w:numPr>
                <w:ilvl w:val="0"/>
                <w:numId w:val="1"/>
              </w:numPr>
              <w:spacing w:lineRule="exact" w:line="480"/>
              <w:ind w:firstLineChars="0"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  <w:r>
              <w:rPr>
                <w:rFonts w:ascii="楷体" w:cs="宋体" w:eastAsia="楷体" w:hAnsi="楷体" w:hint="eastAsia"/>
                <w:color w:val="000000"/>
                <w:kern w:val="0"/>
                <w:sz w:val="24"/>
                <w:szCs w:val="24"/>
              </w:rPr>
              <w:t>动手能力强，服从公司管理，能接受夜班倒班。</w:t>
            </w:r>
          </w:p>
        </w:tc>
      </w:tr>
      <w:tr>
        <w:tblPrEx/>
        <w:trPr>
          <w:trHeight w:val="998" w:hRule="atLeast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spacing w:lineRule="exact" w:line="480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275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vMerge w:val="continue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46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>
            <w:pPr>
              <w:pStyle w:val="style0"/>
              <w:widowControl/>
              <w:jc w:val="left"/>
              <w:rPr>
                <w:rFonts w:ascii="楷体" w:cs="宋体" w:eastAsia="楷体" w:hAnsi="楷体"/>
                <w:color w:val="000000"/>
                <w:kern w:val="0"/>
                <w:sz w:val="24"/>
                <w:szCs w:val="24"/>
              </w:rPr>
            </w:pPr>
          </w:p>
        </w:tc>
      </w:tr>
    </w:tbl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b/>
          <w:color w:val="000000"/>
          <w:kern w:val="0"/>
          <w:sz w:val="28"/>
          <w:szCs w:val="24"/>
        </w:rPr>
      </w:pPr>
    </w:p>
    <w:p>
      <w:pPr>
        <w:pStyle w:val="style0"/>
        <w:widowControl/>
        <w:adjustRightInd w:val="false"/>
        <w:snapToGrid w:val="false"/>
        <w:spacing w:lineRule="exact" w:line="480"/>
        <w:jc w:val="left"/>
        <w:rPr>
          <w:rFonts w:ascii="楷体" w:cs="宋体" w:eastAsia="楷体" w:hAnsi="楷体"/>
          <w:color w:val="000000"/>
          <w:kern w:val="0"/>
          <w:sz w:val="28"/>
          <w:szCs w:val="24"/>
        </w:rPr>
      </w:pPr>
      <w:r>
        <w:rPr>
          <w:rFonts w:ascii="楷体" w:cs="宋体" w:eastAsia="楷体" w:hAnsi="楷体" w:hint="eastAsia"/>
          <w:b/>
          <w:color w:val="000000"/>
          <w:kern w:val="0"/>
          <w:sz w:val="28"/>
          <w:szCs w:val="24"/>
        </w:rPr>
        <w:t>六、薪酬福利待遇</w:t>
      </w:r>
    </w:p>
    <w:p>
      <w:pPr>
        <w:pStyle w:val="style0"/>
        <w:widowControl/>
        <w:spacing w:lineRule="exact" w:line="480"/>
        <w:jc w:val="left"/>
        <w:rPr>
          <w:rFonts w:ascii="楷体" w:cs="宋体" w:eastAsia="楷体" w:hAnsi="楷体"/>
          <w:kern w:val="0"/>
          <w:sz w:val="24"/>
          <w:szCs w:val="24"/>
        </w:rPr>
      </w:pPr>
      <w:r>
        <w:rPr>
          <w:rFonts w:ascii="楷体" w:cs="宋体" w:eastAsia="楷体" w:hAnsi="楷体" w:hint="eastAsia"/>
          <w:b/>
          <w:kern w:val="0"/>
          <w:sz w:val="24"/>
          <w:szCs w:val="24"/>
        </w:rPr>
        <w:t xml:space="preserve">1、薪 </w:t>
      </w:r>
      <w:r>
        <w:rPr>
          <w:rFonts w:ascii="楷体" w:cs="宋体" w:eastAsia="楷体" w:hAnsi="楷体"/>
          <w:b/>
          <w:kern w:val="0"/>
          <w:sz w:val="24"/>
          <w:szCs w:val="24"/>
        </w:rPr>
        <w:t xml:space="preserve">   </w:t>
      </w:r>
      <w:r>
        <w:rPr>
          <w:rFonts w:ascii="楷体" w:cs="宋体" w:eastAsia="楷体" w:hAnsi="楷体" w:hint="eastAsia"/>
          <w:b/>
          <w:kern w:val="0"/>
          <w:sz w:val="24"/>
          <w:szCs w:val="24"/>
        </w:rPr>
        <w:t>资：</w:t>
      </w:r>
      <w:r>
        <w:rPr>
          <w:rFonts w:ascii="楷体" w:cs="宋体" w:eastAsia="楷体" w:hAnsi="楷体" w:hint="eastAsia"/>
          <w:kern w:val="0"/>
          <w:sz w:val="24"/>
          <w:szCs w:val="24"/>
        </w:rPr>
        <w:t>具体薪资面议；综合收入每月4000-6000元，根据公司效益每年调薪；</w:t>
      </w:r>
      <w:r>
        <w:rPr>
          <w:rFonts w:ascii="楷体" w:cs="宋体" w:eastAsia="楷体" w:hAnsi="楷体" w:hint="eastAsia"/>
          <w:kern w:val="0"/>
          <w:sz w:val="24"/>
          <w:szCs w:val="24"/>
        </w:rPr>
        <w:cr/>
      </w:r>
      <w:r>
        <w:rPr>
          <w:rFonts w:ascii="楷体" w:cs="宋体" w:eastAsia="楷体" w:hAnsi="楷体" w:hint="eastAsia"/>
          <w:kern w:val="0"/>
          <w:sz w:val="24"/>
          <w:szCs w:val="24"/>
        </w:rPr>
        <w:t>2、</w:t>
      </w:r>
      <w:r>
        <w:rPr>
          <w:rFonts w:ascii="楷体" w:cs="宋体" w:eastAsia="楷体" w:hAnsi="楷体" w:hint="eastAsia"/>
          <w:b/>
          <w:kern w:val="0"/>
          <w:sz w:val="24"/>
          <w:szCs w:val="24"/>
        </w:rPr>
        <w:t>住    宿：</w:t>
      </w:r>
      <w:r>
        <w:rPr>
          <w:rFonts w:ascii="楷体" w:cs="宋体" w:eastAsia="楷体" w:hAnsi="楷体" w:hint="eastAsia"/>
          <w:color w:val="000000"/>
          <w:kern w:val="0"/>
          <w:sz w:val="24"/>
          <w:szCs w:val="24"/>
        </w:rPr>
        <w:t>实习期间，</w:t>
      </w:r>
      <w:r>
        <w:rPr>
          <w:rFonts w:ascii="楷体" w:cs="宋体" w:eastAsia="楷体" w:hAnsi="楷体" w:hint="eastAsia"/>
          <w:kern w:val="0"/>
          <w:sz w:val="24"/>
          <w:szCs w:val="24"/>
        </w:rPr>
        <w:t>公司提供集体住宿(免床位费，其他费用自理)，实习生须交100元住宿押金(员工退宿时返还)；</w:t>
      </w:r>
      <w:r>
        <w:rPr>
          <w:rFonts w:ascii="楷体" w:eastAsia="楷体" w:hAnsi="楷体" w:hint="eastAsia"/>
          <w:sz w:val="24"/>
          <w:szCs w:val="24"/>
        </w:rPr>
        <w:t>公寓内提供空调、衣柜及桌椅，可接宽带;</w:t>
      </w:r>
      <w:r>
        <w:rPr>
          <w:rFonts w:ascii="楷体" w:cs="宋体" w:eastAsia="楷体" w:hAnsi="楷体"/>
          <w:kern w:val="0"/>
          <w:sz w:val="24"/>
          <w:szCs w:val="24"/>
        </w:rPr>
        <w:t xml:space="preserve"> </w:t>
      </w:r>
    </w:p>
    <w:p>
      <w:pPr>
        <w:pStyle w:val="style0"/>
        <w:spacing w:lineRule="exact" w:line="50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/>
          <w:sz w:val="24"/>
          <w:szCs w:val="24"/>
        </w:rPr>
        <w:t>3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就    餐：</w:t>
      </w:r>
      <w:r>
        <w:rPr>
          <w:rFonts w:ascii="楷体" w:eastAsia="楷体" w:hAnsi="楷体" w:hint="eastAsia"/>
          <w:sz w:val="24"/>
          <w:szCs w:val="24"/>
        </w:rPr>
        <w:t>工作期间工作餐统一在厂区食堂免费就餐，提供套餐（三菜、两汤及各类主食）和特色餐，早餐及晚餐自理；</w:t>
      </w:r>
    </w:p>
    <w:p>
      <w:pPr>
        <w:pStyle w:val="style0"/>
        <w:spacing w:lineRule="exact" w:line="500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default"/>
          <w:sz w:val="24"/>
          <w:szCs w:val="24"/>
        </w:rPr>
        <w:t>4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其他福利：</w:t>
      </w:r>
      <w:r>
        <w:rPr>
          <w:rFonts w:ascii="楷体" w:eastAsia="楷体" w:hAnsi="楷体" w:hint="eastAsia"/>
          <w:sz w:val="24"/>
          <w:szCs w:val="24"/>
        </w:rPr>
        <w:t>中秋节及春节发放过节费（现金</w:t>
      </w:r>
      <w:r>
        <w:rPr>
          <w:rFonts w:ascii="楷体" w:eastAsia="楷体" w:hAnsi="楷体"/>
          <w:sz w:val="24"/>
          <w:szCs w:val="24"/>
        </w:rPr>
        <w:t>）</w:t>
      </w:r>
      <w:r>
        <w:rPr>
          <w:rFonts w:ascii="楷体" w:eastAsia="楷体" w:hAnsi="楷体" w:hint="eastAsia"/>
          <w:sz w:val="24"/>
          <w:szCs w:val="24"/>
        </w:rPr>
        <w:t>、女职工在三八节当天发放节日礼包；</w:t>
      </w: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b/>
          <w:color w:val="ff0000"/>
          <w:sz w:val="24"/>
          <w:szCs w:val="24"/>
        </w:rPr>
      </w:pPr>
      <w:r>
        <w:rPr>
          <w:rFonts w:ascii="楷体" w:cs="宋体" w:eastAsia="楷体" w:hAnsi="楷体" w:hint="default"/>
          <w:kern w:val="0"/>
          <w:sz w:val="24"/>
          <w:szCs w:val="24"/>
        </w:rPr>
        <w:t>5</w:t>
      </w:r>
      <w:r>
        <w:rPr>
          <w:rFonts w:ascii="楷体" w:cs="宋体" w:eastAsia="楷体" w:hAnsi="楷体" w:hint="eastAsia"/>
          <w:kern w:val="0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工作时间：</w:t>
      </w:r>
      <w:r>
        <w:rPr>
          <w:rFonts w:ascii="楷体" w:eastAsia="楷体" w:hAnsi="楷体" w:hint="eastAsia"/>
          <w:sz w:val="24"/>
          <w:szCs w:val="24"/>
        </w:rPr>
        <w:t>每日正常工作8小时；如需</w:t>
      </w:r>
      <w:r>
        <w:rPr>
          <w:rFonts w:ascii="楷体" w:eastAsia="楷体" w:hAnsi="楷体"/>
          <w:sz w:val="24"/>
          <w:szCs w:val="24"/>
        </w:rPr>
        <w:t>安排加班</w:t>
      </w:r>
      <w:r>
        <w:rPr>
          <w:rFonts w:ascii="楷体" w:eastAsia="楷体" w:hAnsi="楷体" w:hint="eastAsia"/>
          <w:sz w:val="24"/>
          <w:szCs w:val="24"/>
        </w:rPr>
        <w:t>按国家规定支付加班费；</w:t>
      </w: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4"/>
          <w:szCs w:val="24"/>
        </w:rPr>
      </w:pPr>
      <w:r>
        <w:rPr>
          <w:rFonts w:ascii="楷体" w:eastAsia="楷体" w:hAnsi="楷体" w:hint="default"/>
          <w:sz w:val="24"/>
          <w:szCs w:val="24"/>
        </w:rPr>
        <w:t>6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公 休 假</w:t>
      </w:r>
      <w:r>
        <w:rPr>
          <w:rFonts w:ascii="楷体" w:eastAsia="楷体" w:hAnsi="楷体"/>
          <w:b/>
          <w:sz w:val="24"/>
          <w:szCs w:val="24"/>
        </w:rPr>
        <w:t>：</w:t>
      </w:r>
      <w:r>
        <w:rPr>
          <w:rFonts w:ascii="楷体" w:eastAsia="楷体" w:hAnsi="楷体" w:hint="eastAsia"/>
          <w:sz w:val="24"/>
          <w:szCs w:val="24"/>
        </w:rPr>
        <w:t>公司实施单双休（每月</w:t>
      </w:r>
      <w:r>
        <w:rPr>
          <w:rFonts w:ascii="楷体" w:eastAsia="楷体" w:hAnsi="楷体"/>
          <w:sz w:val="24"/>
          <w:szCs w:val="24"/>
        </w:rPr>
        <w:t>休息至少</w:t>
      </w:r>
      <w:r>
        <w:rPr>
          <w:rFonts w:ascii="楷体" w:eastAsia="楷体" w:hAnsi="楷体" w:hint="eastAsia"/>
          <w:sz w:val="24"/>
          <w:szCs w:val="24"/>
        </w:rPr>
        <w:t>6天</w:t>
      </w:r>
      <w:r>
        <w:rPr>
          <w:rFonts w:ascii="楷体" w:eastAsia="楷体" w:hAnsi="楷体"/>
          <w:sz w:val="24"/>
          <w:szCs w:val="24"/>
        </w:rPr>
        <w:t>）</w:t>
      </w:r>
      <w:r>
        <w:rPr>
          <w:rFonts w:ascii="楷体" w:eastAsia="楷体" w:hAnsi="楷体" w:hint="eastAsia"/>
          <w:sz w:val="24"/>
          <w:szCs w:val="24"/>
        </w:rPr>
        <w:t>，国家法定假日休息；</w:t>
      </w:r>
    </w:p>
    <w:p>
      <w:pPr>
        <w:pStyle w:val="style0"/>
        <w:widowControl/>
        <w:tabs>
          <w:tab w:val="center" w:leader="none" w:pos="5528"/>
        </w:tabs>
        <w:spacing w:lineRule="exact" w:line="480"/>
        <w:jc w:val="left"/>
        <w:rPr>
          <w:rFonts w:ascii="楷体" w:eastAsia="楷体" w:hAnsi="楷体"/>
          <w:color w:val="ff0000"/>
          <w:sz w:val="24"/>
          <w:szCs w:val="24"/>
        </w:rPr>
      </w:pPr>
      <w:r>
        <w:rPr>
          <w:rFonts w:ascii="楷体" w:eastAsia="楷体" w:hAnsi="楷体" w:hint="default"/>
          <w:sz w:val="24"/>
          <w:szCs w:val="24"/>
        </w:rPr>
        <w:t>7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带 薪 假：</w:t>
      </w:r>
      <w:r>
        <w:rPr>
          <w:rFonts w:ascii="楷体" w:eastAsia="楷体" w:hAnsi="楷体" w:hint="eastAsia"/>
          <w:sz w:val="24"/>
          <w:szCs w:val="24"/>
        </w:rPr>
        <w:t>婚假、</w:t>
      </w:r>
      <w:r>
        <w:rPr>
          <w:rFonts w:ascii="楷体" w:eastAsia="楷体" w:hAnsi="楷体"/>
          <w:sz w:val="24"/>
          <w:szCs w:val="24"/>
        </w:rPr>
        <w:t>丧假、护理假</w:t>
      </w:r>
      <w:r>
        <w:rPr>
          <w:rFonts w:ascii="楷体" w:eastAsia="楷体" w:hAnsi="楷体" w:hint="eastAsia"/>
          <w:sz w:val="24"/>
          <w:szCs w:val="24"/>
        </w:rPr>
        <w:t>；</w:t>
      </w:r>
      <w:r>
        <w:rPr>
          <w:rFonts w:ascii="楷体" w:cs="宋体" w:eastAsia="楷体" w:hAnsi="楷体" w:hint="eastAsia"/>
          <w:kern w:val="0"/>
          <w:sz w:val="24"/>
          <w:szCs w:val="24"/>
        </w:rPr>
        <w:t>险：缴纳五险一金，缴纳比例依据国家要求执行，缴费金额公司高于个人；</w:t>
      </w:r>
      <w:r>
        <w:rPr>
          <w:rFonts w:ascii="楷体" w:cs="宋体" w:eastAsia="楷体" w:hAnsi="楷体" w:hint="eastAsia"/>
          <w:kern w:val="0"/>
          <w:sz w:val="24"/>
          <w:szCs w:val="24"/>
        </w:rPr>
        <w:cr/>
      </w:r>
      <w:r>
        <w:rPr>
          <w:rFonts w:ascii="楷体" w:cs="宋体" w:eastAsia="楷体" w:hAnsi="楷体" w:hint="default"/>
          <w:kern w:val="0"/>
          <w:sz w:val="24"/>
          <w:szCs w:val="24"/>
        </w:rPr>
        <w:t>8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cs="宋体" w:eastAsia="楷体" w:hAnsi="楷体" w:hint="eastAsia"/>
          <w:b/>
          <w:kern w:val="0"/>
          <w:sz w:val="24"/>
          <w:szCs w:val="24"/>
        </w:rPr>
        <w:t>购车优惠：</w:t>
      </w:r>
      <w:r>
        <w:rPr>
          <w:rFonts w:ascii="楷体" w:cs="宋体" w:eastAsia="楷体" w:hAnsi="楷体" w:hint="eastAsia"/>
          <w:kern w:val="0"/>
          <w:sz w:val="24"/>
          <w:szCs w:val="24"/>
        </w:rPr>
        <w:t>员工购车时一次性享受15%购车优惠，享有 150元-2000元/月的燃油补助；</w:t>
      </w:r>
      <w:r>
        <w:rPr>
          <w:rFonts w:ascii="楷体" w:cs="宋体" w:eastAsia="楷体" w:hAnsi="楷体" w:hint="eastAsia"/>
          <w:kern w:val="0"/>
          <w:sz w:val="24"/>
          <w:szCs w:val="24"/>
        </w:rPr>
        <w:cr/>
      </w:r>
      <w:r>
        <w:rPr>
          <w:rFonts w:ascii="楷体" w:cs="宋体" w:eastAsia="楷体" w:hAnsi="楷体" w:hint="default"/>
          <w:kern w:val="0"/>
          <w:sz w:val="24"/>
          <w:szCs w:val="24"/>
        </w:rPr>
        <w:t>9</w:t>
      </w:r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工装劳保：</w:t>
      </w:r>
      <w:r>
        <w:rPr>
          <w:rFonts w:ascii="楷体" w:eastAsia="楷体" w:hAnsi="楷体" w:hint="eastAsia"/>
          <w:sz w:val="24"/>
          <w:szCs w:val="24"/>
        </w:rPr>
        <w:t>公司免费提供工装、年度健康体检及全面的劳保用品;</w:t>
      </w:r>
    </w:p>
    <w:p>
      <w:pPr>
        <w:pStyle w:val="style0"/>
        <w:widowControl/>
        <w:jc w:val="left"/>
        <w:rPr>
          <w:rFonts w:ascii="楷体" w:eastAsia="楷体" w:hAnsi="楷体"/>
          <w:sz w:val="24"/>
          <w:szCs w:val="24"/>
        </w:rPr>
      </w:pPr>
    </w:p>
    <w:p>
      <w:pPr>
        <w:pStyle w:val="style0"/>
        <w:widowControl/>
        <w:jc w:val="left"/>
        <w:rPr>
          <w:rFonts w:ascii="宋体" w:cs="宋体" w:eastAsia="宋体" w:hAnsi="宋体"/>
          <w:kern w:val="0"/>
          <w:sz w:val="24"/>
          <w:szCs w:val="24"/>
        </w:rPr>
      </w:pPr>
      <w:r>
        <w:rPr>
          <w:rFonts w:ascii="楷体" w:eastAsia="楷体" w:hAnsi="楷体" w:hint="eastAsia"/>
          <w:sz w:val="28"/>
          <w:szCs w:val="24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column">
              <wp:posOffset>4867910</wp:posOffset>
            </wp:positionH>
            <wp:positionV relativeFrom="paragraph">
              <wp:posOffset>15875</wp:posOffset>
            </wp:positionV>
            <wp:extent cx="1328420" cy="1765935"/>
            <wp:effectExtent l="209550" t="0" r="195580" b="0"/>
            <wp:wrapSquare wrapText="bothSides"/>
            <wp:docPr id="1031" name="图片 1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328420" cy="17659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楷体" w:eastAsia="楷体" w:hAnsi="楷体" w:hint="default"/>
          <w:sz w:val="28"/>
          <w:szCs w:val="24"/>
        </w:rPr>
        <w:t>10</w:t>
      </w:r>
      <w:bookmarkStart w:id="0" w:name="_GoBack"/>
      <w:bookmarkEnd w:id="0"/>
      <w:r>
        <w:rPr>
          <w:rFonts w:ascii="楷体" w:eastAsia="楷体" w:hAnsi="楷体" w:hint="eastAsia"/>
          <w:sz w:val="24"/>
          <w:szCs w:val="24"/>
        </w:rPr>
        <w:t>、</w:t>
      </w:r>
      <w:r>
        <w:rPr>
          <w:rFonts w:ascii="楷体" w:eastAsia="楷体" w:hAnsi="楷体" w:hint="eastAsia"/>
          <w:b/>
          <w:sz w:val="24"/>
          <w:szCs w:val="24"/>
        </w:rPr>
        <w:t>生活环境：</w:t>
      </w:r>
    </w:p>
    <w:p>
      <w:pPr>
        <w:pStyle w:val="style0"/>
        <w:widowControl/>
        <w:jc w:val="left"/>
        <w:rPr>
          <w:rFonts w:ascii="宋体" w:cs="宋体" w:eastAsia="宋体" w:hAnsi="宋体"/>
          <w:kern w:val="0"/>
          <w:sz w:val="24"/>
          <w:szCs w:val="24"/>
        </w:rPr>
      </w:pPr>
      <w:r>
        <w:rPr>
          <w:rFonts w:ascii="楷体" w:eastAsia="楷体" w:hAnsi="楷体" w:hint="eastAsia"/>
          <w:sz w:val="28"/>
          <w:szCs w:val="24"/>
        </w:rPr>
        <w:drawing>
          <wp:anchor distT="0" distB="0" distL="0" distR="0" simplePos="false" relativeHeight="2" behindDoc="false" locked="false" layoutInCell="true" allowOverlap="true">
            <wp:simplePos x="0" y="0"/>
            <wp:positionH relativeFrom="column">
              <wp:posOffset>161925</wp:posOffset>
            </wp:positionH>
            <wp:positionV relativeFrom="paragraph">
              <wp:posOffset>25400</wp:posOffset>
            </wp:positionV>
            <wp:extent cx="1875155" cy="1342390"/>
            <wp:effectExtent l="0" t="0" r="0" b="0"/>
            <wp:wrapNone/>
            <wp:docPr id="1032" name="图片 9" descr="20160628112551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/>
                    <pic:cNvPicPr/>
                  </pic:nvPicPr>
                  <pic:blipFill>
                    <a:blip r:embed="rId8" cstate="print"/>
                    <a:srcRect l="0" t="7061" r="0" b="0"/>
                    <a:stretch/>
                  </pic:blipFill>
                  <pic:spPr>
                    <a:xfrm rot="0">
                      <a:off x="0" y="0"/>
                      <a:ext cx="1875155" cy="134239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4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column">
              <wp:posOffset>292100</wp:posOffset>
            </wp:positionH>
            <wp:positionV relativeFrom="paragraph">
              <wp:posOffset>25400</wp:posOffset>
            </wp:positionV>
            <wp:extent cx="2000250" cy="1370965"/>
            <wp:effectExtent l="0" t="0" r="0" b="0"/>
            <wp:wrapSquare wrapText="bothSides"/>
            <wp:docPr id="1033" name="图片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000250" cy="137096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  <w:r>
        <w:rPr>
          <w:rFonts w:ascii="楷体" w:eastAsia="楷体" w:hAnsi="楷体"/>
          <w:sz w:val="28"/>
          <w:szCs w:val="24"/>
        </w:rPr>
        <w:drawing>
          <wp:anchor distT="0" distB="0" distL="114300" distR="114300" simplePos="false" relativeHeight="12" behindDoc="false" locked="false" layoutInCell="true" allowOverlap="true">
            <wp:simplePos x="0" y="0"/>
            <wp:positionH relativeFrom="column">
              <wp:posOffset>-1818004</wp:posOffset>
            </wp:positionH>
            <wp:positionV relativeFrom="paragraph">
              <wp:posOffset>114300</wp:posOffset>
            </wp:positionV>
            <wp:extent cx="1411605" cy="1967230"/>
            <wp:effectExtent l="285750" t="0" r="264795" b="0"/>
            <wp:wrapSquare wrapText="bothSides"/>
            <wp:docPr id="1034" name="图片 1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9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411605" cy="196723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4"/>
        </w:rPr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column">
              <wp:posOffset>123825</wp:posOffset>
            </wp:positionH>
            <wp:positionV relativeFrom="paragraph">
              <wp:posOffset>370205</wp:posOffset>
            </wp:positionV>
            <wp:extent cx="1962149" cy="1447799"/>
            <wp:effectExtent l="0" t="0" r="0" b="0"/>
            <wp:wrapSquare wrapText="bothSides"/>
            <wp:docPr id="1035" name="图片 1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7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962149" cy="1447799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楷体" w:eastAsia="楷体" w:hAnsi="楷体"/>
          <w:sz w:val="28"/>
          <w:szCs w:val="24"/>
        </w:rPr>
        <w:drawing>
          <wp:anchor distT="0" distB="0" distL="114300" distR="114300" simplePos="false" relativeHeight="11" behindDoc="false" locked="false" layoutInCell="true" allowOverlap="true">
            <wp:simplePos x="0" y="0"/>
            <wp:positionH relativeFrom="column">
              <wp:posOffset>2411095</wp:posOffset>
            </wp:positionH>
            <wp:positionV relativeFrom="paragraph">
              <wp:posOffset>247650</wp:posOffset>
            </wp:positionV>
            <wp:extent cx="1442720" cy="1687195"/>
            <wp:effectExtent l="114300" t="0" r="100330" b="0"/>
            <wp:wrapSquare wrapText="bothSides"/>
            <wp:docPr id="1036" name="图片 1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8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5400000">
                      <a:off x="0" y="0"/>
                      <a:ext cx="1442720" cy="168719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widowControl/>
        <w:spacing w:lineRule="exact" w:line="480"/>
        <w:jc w:val="left"/>
        <w:rPr>
          <w:rFonts w:ascii="楷体" w:eastAsia="楷体" w:hAnsi="楷体"/>
          <w:sz w:val="28"/>
          <w:szCs w:val="24"/>
        </w:rPr>
      </w:pPr>
    </w:p>
    <w:p>
      <w:pPr>
        <w:pStyle w:val="style0"/>
        <w:rPr>
          <w:rFonts w:ascii="楷体" w:eastAsia="楷体" w:hAnsi="楷体"/>
          <w:b/>
          <w:sz w:val="28"/>
          <w:szCs w:val="28"/>
        </w:rPr>
      </w:pPr>
    </w:p>
    <w:p>
      <w:pPr>
        <w:pStyle w:val="style0"/>
        <w:rPr>
          <w:rFonts w:ascii="楷体" w:eastAsia="楷体" w:hAnsi="楷体"/>
          <w:b/>
          <w:sz w:val="28"/>
          <w:szCs w:val="28"/>
        </w:rPr>
      </w:pPr>
    </w:p>
    <w:p>
      <w:pPr>
        <w:pStyle w:val="style0"/>
        <w:jc w:val="left"/>
        <w:rPr>
          <w:rFonts w:ascii="楷体" w:eastAsia="楷体" w:hAnsi="楷体"/>
          <w:b/>
          <w:sz w:val="24"/>
          <w:szCs w:val="24"/>
        </w:rPr>
      </w:pPr>
      <w:r>
        <w:rPr>
          <w:rFonts w:ascii="华文新魏" w:cs="宋体" w:eastAsia="华文新魏" w:hAnsi="华文楷体" w:hint="eastAsia"/>
          <w:kern w:val="0"/>
          <w:sz w:val="24"/>
          <w:szCs w:val="24"/>
        </w:rPr>
        <w:cr/>
      </w:r>
      <w:r>
        <w:rPr>
          <w:rFonts w:ascii="华文新魏" w:cs="宋体" w:eastAsia="华文新魏" w:hAnsi="华文楷体"/>
          <w:kern w:val="0"/>
          <w:sz w:val="24"/>
          <w:szCs w:val="24"/>
        </w:rPr>
        <w:t xml:space="preserve"> </w:t>
      </w:r>
      <w:r>
        <w:rPr>
          <w:rFonts w:ascii="华文新魏" w:cs="宋体" w:eastAsia="华文新魏" w:hAnsi="华文楷体" w:hint="eastAsia"/>
          <w:kern w:val="0"/>
          <w:sz w:val="24"/>
          <w:szCs w:val="24"/>
        </w:rPr>
        <w:t>泰州市高港区临港工业园长城汽车泰州分公司南行300米路西。</w:t>
      </w:r>
      <w:r>
        <w:rPr>
          <w:rFonts w:ascii="华文新魏" w:cs="宋体" w:eastAsia="华文新魏" w:hAnsi="华文楷体" w:hint="eastAsia"/>
          <w:kern w:val="0"/>
          <w:sz w:val="24"/>
          <w:szCs w:val="24"/>
        </w:rPr>
        <w:cr/>
      </w:r>
    </w:p>
    <w:sectPr>
      <w:headerReference w:type="default" r:id="rId13"/>
      <w:pgSz w:w="11906" w:h="16838" w:orient="portrait"/>
      <w:pgMar w:top="425" w:right="425" w:bottom="426" w:left="425" w:header="284" w:footer="459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0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0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002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007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Calibri"/>
    <w:panose1 w:val="020f0502020002030204"/>
    <w:charset w:val="00"/>
    <w:family w:val="swiss"/>
    <w:pitch w:val="default"/>
    <w:sig w:usb0="E10002FF" w:usb1="4000ACFF" w:usb2="00000009" w:usb3="00000000" w:csb0="2000019F" w:csb1="00000000"/>
  </w:font>
  <w:font w:name="汉仪书宋二KW">
    <w:altName w:val="汉仪书宋二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汉仪中黑KW">
    <w:altName w:val="汉仪中黑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楷体">
    <w:altName w:val="汉仪楷体KW"/>
    <w:panose1 w:val="020106090600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KW 55S"/>
    <w:panose1 w:val="020b0503020002020204"/>
    <w:charset w:val="86"/>
    <w:family w:val="swiss"/>
    <w:pitch w:val="default"/>
    <w:sig w:usb0="00000000" w:usb1="00000000" w:usb2="00000016" w:usb3="00000000" w:csb0="0004001F" w:csb1="00000000"/>
  </w:font>
  <w:font w:name="华文新魏">
    <w:altName w:val="汉仪书宋二KW"/>
    <w:panose1 w:val="02010800040001010101"/>
    <w:charset w:val="86"/>
    <w:family w:val="auto"/>
    <w:pitch w:val="default"/>
    <w:sig w:usb0="00000000" w:usb1="00000000" w:usb2="00000010" w:usb3="00000000" w:csb0="00040000" w:csb1="00000000"/>
  </w:font>
  <w:font w:name="华文楷体">
    <w:altName w:val="汉仪楷体KW"/>
    <w:panose1 w:val="02010600040001010101"/>
    <w:charset w:val="86"/>
    <w:family w:val="auto"/>
    <w:pitch w:val="default"/>
    <w:sig w:usb0="00000000" w:usb1="00000000" w:usb2="00000000" w:usb3="00000000" w:csb0="0004009F" w:csb1="DFD70000"/>
  </w:font>
  <w:font w:name="汉仪楷体KW">
    <w:altName w:val="汉仪楷体KW"/>
    <w:panose1 w:val="00020600040001010101"/>
    <w:charset w:val="86"/>
    <w:family w:val="auto"/>
    <w:pitch w:val="default"/>
    <w:sig w:usb0="A00002BF" w:usb1="18EF7CFA" w:usb2="00000016" w:usb3="00000000" w:csb0="00040000" w:csb1="00000000"/>
  </w:font>
  <w:font w:name="汉仪旗黑KW 55S">
    <w:altName w:val="汉仪旗黑KW 55S"/>
    <w:panose1 w:val="00020600040001010101"/>
    <w:charset w:val="86"/>
    <w:family w:val="auto"/>
    <w:pitch w:val="default"/>
    <w:sig w:usb0="A00002BF" w:usb1="3ACF7CFA" w:usb2="00000016" w:usb3="00000000" w:csb0="0004009F" w:csb1="DFD70000"/>
  </w:font>
  <w:font w:name="MingLiU">
    <w:altName w:val="MingLiU"/>
    <w:panose1 w:val="02020509000000000000"/>
    <w:charset w:val="88"/>
    <w:family w:val="auto"/>
    <w:pitch w:val="default"/>
    <w:sig w:usb0="A00002FF" w:usb1="28CFFCFA" w:usb2="00000016" w:usb3="00000000" w:csb0="00100001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p>
    <w:pPr>
      <w:pStyle w:val="style31"/>
      <w:jc w:val="both"/>
      <w:rPr/>
    </w:pPr>
    <w:r>
      <w:rPr/>
      <w:drawing>
        <wp:inline distL="0" distT="0" distB="0" distR="0">
          <wp:extent cx="4173855" cy="370840"/>
          <wp:effectExtent l="0" t="0" r="0" b="0"/>
          <wp:docPr id="4097" name="图片 15"/>
          <wp:cNvGraphicFramePr>
            <a:graphicFrameLocks xmlns:a="http://schemas.openxmlformats.org/drawingml/2006/main" noChangeAspect="false" noSelect="false" noResize="false" noGrp="false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5"/>
                  <pic:cNvPicPr/>
                </pic:nvPicPr>
                <pic:blipFill>
                  <a:blip r:embed="rId1" cstate="print"/>
                  <a:srcRect l="0" t="0" r="0" b="0"/>
                  <a:stretch/>
                </pic:blipFill>
                <pic:spPr>
                  <a:xfrm rot="0">
                    <a:off x="0" y="0"/>
                    <a:ext cx="4173855" cy="370840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multilevel"/>
    <w:tmpl w:val="47595CAE"/>
    <w:lvl w:ilvl="0">
      <w:start w:val="1"/>
      <w:numFmt w:val="decimalEnclosedCircle"/>
      <w:lvlText w:val="%1"/>
      <w:lvlJc w:val="left"/>
      <w:pPr>
        <w:ind w:left="393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73" w:hanging="420"/>
      </w:pPr>
    </w:lvl>
    <w:lvl w:ilvl="2">
      <w:start w:val="1"/>
      <w:numFmt w:val="lowerRoman"/>
      <w:lvlText w:val="%3."/>
      <w:lvlJc w:val="right"/>
      <w:pPr>
        <w:ind w:left="1293" w:hanging="420"/>
      </w:pPr>
    </w:lvl>
    <w:lvl w:ilvl="3">
      <w:start w:val="1"/>
      <w:numFmt w:val="decimal"/>
      <w:lvlText w:val="%4."/>
      <w:lvlJc w:val="left"/>
      <w:pPr>
        <w:ind w:left="1713" w:hanging="420"/>
      </w:pPr>
    </w:lvl>
    <w:lvl w:ilvl="4">
      <w:start w:val="1"/>
      <w:numFmt w:val="lowerLetter"/>
      <w:lvlText w:val="%5)"/>
      <w:lvlJc w:val="left"/>
      <w:pPr>
        <w:ind w:left="2133" w:hanging="420"/>
      </w:pPr>
    </w:lvl>
    <w:lvl w:ilvl="5">
      <w:start w:val="1"/>
      <w:numFmt w:val="lowerRoman"/>
      <w:lvlText w:val="%6."/>
      <w:lvlJc w:val="right"/>
      <w:pPr>
        <w:ind w:left="2553" w:hanging="420"/>
      </w:pPr>
    </w:lvl>
    <w:lvl w:ilvl="6">
      <w:start w:val="1"/>
      <w:numFmt w:val="decimal"/>
      <w:lvlText w:val="%7."/>
      <w:lvlJc w:val="left"/>
      <w:pPr>
        <w:ind w:left="2973" w:hanging="420"/>
      </w:pPr>
    </w:lvl>
    <w:lvl w:ilvl="7">
      <w:start w:val="1"/>
      <w:numFmt w:val="lowerLetter"/>
      <w:lvlText w:val="%8)"/>
      <w:lvlJc w:val="left"/>
      <w:pPr>
        <w:ind w:left="3393" w:hanging="420"/>
      </w:pPr>
    </w:lvl>
    <w:lvl w:ilvl="8">
      <w:start w:val="1"/>
      <w:numFmt w:val="lowerRoman"/>
      <w:lvlText w:val="%9."/>
      <w:lvlJc w:val="right"/>
      <w:pPr>
        <w:ind w:left="3813" w:hanging="42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cumentProtection w:edit="readOnly" w:formatting="1"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</w:rPr>
    </w:rPrDefault>
    <w:pPrDefault>
      <w:pPr/>
    </w:pPrDefault>
  </w:docDefaults>
  <w:style w:type="paragraph" w:default="1" w:styleId="style0">
    <w:name w:val="Normal"/>
    <w:next w:val="style0"/>
    <w:qFormat/>
    <w:uiPriority w:val="0"/>
    <w:pPr>
      <w:widowControl w:val="false"/>
      <w:jc w:val="both"/>
    </w:pPr>
    <w:rPr>
      <w:rFonts w:ascii="Calibri" w:cs="宋体" w:eastAsia="宋体" w:hAnsi="Calibri"/>
      <w:kern w:val="2"/>
      <w:sz w:val="21"/>
      <w:szCs w:val="22"/>
      <w:lang w:val="en-US" w:bidi="ar-SA" w:eastAsia="zh-CN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paragraph" w:styleId="style153">
    <w:name w:val="Balloon Text"/>
    <w:basedOn w:val="style0"/>
    <w:next w:val="style153"/>
    <w:link w:val="style4099"/>
    <w:uiPriority w:val="99"/>
    <w:pPr/>
    <w:rPr>
      <w:sz w:val="18"/>
      <w:szCs w:val="18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153"/>
        <w:tab w:val="right" w:leader="none" w:pos="8306"/>
      </w:tabs>
      <w:snapToGrid w:val="false"/>
      <w:jc w:val="left"/>
    </w:pPr>
    <w:rPr>
      <w:sz w:val="18"/>
      <w:szCs w:val="18"/>
    </w:rPr>
  </w:style>
  <w:style w:type="paragraph" w:styleId="style31">
    <w:name w:val="header"/>
    <w:basedOn w:val="style0"/>
    <w:next w:val="style31"/>
    <w:link w:val="style4097"/>
    <w:uiPriority w:val="99"/>
    <w:pPr>
      <w:pBdr>
        <w:bottom w:val="single" w:sz="6" w:space="1" w:color="auto"/>
      </w:pBdr>
      <w:tabs>
        <w:tab w:val="center" w:leader="none" w:pos="4153"/>
        <w:tab w:val="right" w:leader="none" w:pos="8306"/>
      </w:tabs>
      <w:snapToGrid w:val="false"/>
      <w:jc w:val="center"/>
    </w:pPr>
    <w:rPr>
      <w:sz w:val="18"/>
      <w:szCs w:val="18"/>
    </w:rPr>
  </w:style>
  <w:style w:type="character" w:styleId="style85">
    <w:name w:val="Hyperlink"/>
    <w:basedOn w:val="style65"/>
    <w:next w:val="style85"/>
    <w:uiPriority w:val="99"/>
    <w:rPr>
      <w:color w:val="0000ff"/>
      <w:u w:val="single"/>
    </w:rPr>
  </w:style>
  <w:style w:type="character" w:customStyle="1" w:styleId="style4097">
    <w:name w:val="页眉 Char"/>
    <w:basedOn w:val="style65"/>
    <w:next w:val="style4097"/>
    <w:link w:val="style31"/>
    <w:uiPriority w:val="99"/>
    <w:rPr>
      <w:sz w:val="18"/>
      <w:szCs w:val="18"/>
    </w:rPr>
  </w:style>
  <w:style w:type="character" w:customStyle="1" w:styleId="style4098">
    <w:name w:val="页脚 Char"/>
    <w:basedOn w:val="style65"/>
    <w:next w:val="style4098"/>
    <w:link w:val="style32"/>
    <w:uiPriority w:val="99"/>
    <w:rPr>
      <w:sz w:val="18"/>
      <w:szCs w:val="18"/>
    </w:rPr>
  </w:style>
  <w:style w:type="character" w:customStyle="1" w:styleId="style4099">
    <w:name w:val="批注框文本 Char"/>
    <w:basedOn w:val="style65"/>
    <w:next w:val="style4099"/>
    <w:link w:val="style153"/>
    <w:uiPriority w:val="99"/>
    <w:rPr>
      <w:sz w:val="18"/>
      <w:szCs w:val="18"/>
    </w:rPr>
  </w:style>
  <w:style w:type="paragraph" w:styleId="style179">
    <w:name w:val="List Paragraph"/>
    <w:basedOn w:val="style0"/>
    <w:next w:val="style179"/>
    <w:qFormat/>
    <w:uiPriority w:val="34"/>
    <w:pPr>
      <w:ind w:firstLine="420" w:firstLineChars="200"/>
    </w:pPr>
    <w:rPr/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3" Type="http://schemas.openxmlformats.org/officeDocument/2006/relationships/header" Target="header1.xml"/><Relationship Id="rId12" Type="http://schemas.openxmlformats.org/officeDocument/2006/relationships/image" Target="media/image6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6.png"/><Relationship Id="rId15" Type="http://schemas.openxmlformats.org/officeDocument/2006/relationships/fontTable" Target="fontTable.xml"/><Relationship Id="rId14" Type="http://schemas.openxmlformats.org/officeDocument/2006/relationships/styles" Target="styles.xml"/><Relationship Id="rId17" Type="http://schemas.openxmlformats.org/officeDocument/2006/relationships/theme" Target="theme/theme1.xml"/><Relationship Id="rId16" Type="http://schemas.openxmlformats.org/officeDocument/2006/relationships/settings" Target="settings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18" Type="http://schemas.openxmlformats.org/officeDocument/2006/relationships/customXml" Target="../customXml/item1.xml"/><Relationship Id="rId7" Type="http://schemas.openxmlformats.org/officeDocument/2006/relationships/image" Target="media/image2.jpeg"/><Relationship Id="rId8" Type="http://schemas.openxmlformats.org/officeDocument/2006/relationships/image" Target="media/image3.jpeg"/>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768</TotalTime>
  <Words>1161</Words>
  <Pages>3</Pages>
  <Characters>1245</Characters>
  <Application>WPS Office</Application>
  <DocSecurity>0</DocSecurity>
  <Paragraphs>84</Paragraphs>
  <ScaleCrop>false</ScaleCrop>
  <LinksUpToDate>false</LinksUpToDate>
  <CharactersWithSpaces>1297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2017-08-22T16:01:00Z</dcterms:created>
  <dc:creator>gw00003083</dc:creator>
  <lastModifiedBy>DUK-AL20</lastModifiedBy>
  <lastPrinted>2018-06-20T13:18:00Z</lastPrinted>
  <dcterms:modified xsi:type="dcterms:W3CDTF">2020-08-06T02:32:24Z</dcterms:modified>
  <revision>14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